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eastAsia="zh-CN"/>
        </w:rPr>
        <w:t>1</w:t>
      </w:r>
      <w:r>
        <w:rPr>
          <w:rFonts w:hint="eastAsia"/>
          <w:lang w:eastAsia="zh-CN"/>
        </w:rP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3</w:t>
      </w:r>
      <w:r>
        <w:rPr>
          <w:rFonts w:hint="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5</w:t>
      </w:r>
      <w:r>
        <w:rPr>
          <w:rFonts w:hint="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eastAsia="zh-CN"/>
        </w:rPr>
        <w:t>7</w:t>
      </w:r>
      <w:r>
        <w:rPr>
          <w:rFonts w:hint="eastAsia"/>
          <w:lang w:eastAsia="zh-CN"/>
        </w:rP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7</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18</w:t>
      </w:r>
      <w:r>
        <w:rPr>
          <w:rFonts w:hint="eastAsia"/>
          <w:lang w:eastAsia="zh-CN"/>
        </w:rP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eastAsia="zh-CN"/>
        </w:rPr>
        <w:t>9</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eastAsia="zh-CN"/>
        </w:rPr>
        <w:t>9</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lang w:eastAsia="zh-CN"/>
        </w:rPr>
        <w:t>6</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fldChar w:fldCharType="end"/>
      </w:r>
      <w:r>
        <w:fldChar w:fldCharType="end"/>
      </w:r>
      <w:r>
        <w:rPr>
          <w:rFonts w:hint="eastAsia"/>
          <w:lang w:eastAsia="zh-CN"/>
        </w:rPr>
        <w:t>7</w:t>
      </w:r>
    </w:p>
    <w:p>
      <w:pPr>
        <w:rPr>
          <w:rFonts w:hint="eastAsia" w:eastAsiaTheme="minorEastAsia"/>
          <w:lang w:eastAsia="zh-CN"/>
        </w:rPr>
        <w:sectPr>
          <w:pgSz w:w="16840" w:h="11900" w:orient="landscape"/>
          <w:pgMar w:top="1587" w:right="1134" w:bottom="1361" w:left="1134" w:header="720" w:footer="720" w:gutter="0"/>
          <w:pgNumType w:start="1"/>
          <w:cols w:space="720" w:num="1"/>
        </w:sectPr>
      </w:pPr>
      <w:r>
        <w:fldChar w:fldCharType="end"/>
      </w:r>
    </w:p>
    <w:p>
      <w:pPr>
        <w:outlineLvl w:val="1"/>
        <w:rPr>
          <w:rFonts w:hint="eastAsia" w:ascii="方正小标宋_GBK" w:hAnsi="方正小标宋_GBK" w:eastAsia="方正小标宋_GBK" w:cs="方正小标宋_GBK"/>
          <w:color w:val="000000"/>
          <w:sz w:val="21"/>
          <w:szCs w:val="21"/>
          <w:lang w:eastAsia="zh-CN"/>
        </w:rPr>
      </w:pPr>
      <w:bookmarkStart w:id="0" w:name="_Toc_2_2_0000000001"/>
    </w:p>
    <w:p>
      <w:pPr>
        <w:outlineLvl w:val="1"/>
        <w:rPr>
          <w:rFonts w:hint="eastAsia" w:ascii="方正小标宋_GBK" w:hAnsi="方正小标宋_GBK" w:eastAsia="方正小标宋_GBK" w:cs="方正小标宋_GBK"/>
          <w:color w:val="000000"/>
          <w:sz w:val="21"/>
          <w:szCs w:val="21"/>
          <w:lang w:eastAsia="zh-CN"/>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438保定市人民政府外事办公室</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497.23</w:t>
            </w:r>
          </w:p>
        </w:tc>
        <w:tc>
          <w:tcPr>
            <w:tcW w:w="4535" w:type="dxa"/>
            <w:vAlign w:val="center"/>
          </w:tcPr>
          <w:p>
            <w:pPr>
              <w:pStyle w:val="12"/>
            </w:pPr>
            <w:r>
              <w:t>一、一般公共服务支出</w:t>
            </w:r>
          </w:p>
        </w:tc>
        <w:tc>
          <w:tcPr>
            <w:tcW w:w="2126" w:type="dxa"/>
            <w:vAlign w:val="center"/>
          </w:tcPr>
          <w:p>
            <w:pPr>
              <w:pStyle w:val="11"/>
            </w:pPr>
            <w:r>
              <w:t>436.52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r>
              <w:t>74.87</w:t>
            </w: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572.10</w:t>
            </w:r>
          </w:p>
        </w:tc>
        <w:tc>
          <w:tcPr>
            <w:tcW w:w="4535" w:type="dxa"/>
            <w:vAlign w:val="center"/>
          </w:tcPr>
          <w:p>
            <w:pPr>
              <w:pStyle w:val="14"/>
            </w:pPr>
            <w:r>
              <w:t>本年支出合计</w:t>
            </w:r>
          </w:p>
        </w:tc>
        <w:tc>
          <w:tcPr>
            <w:tcW w:w="2126" w:type="dxa"/>
            <w:vAlign w:val="center"/>
          </w:tcPr>
          <w:p>
            <w:pPr>
              <w:pStyle w:val="15"/>
            </w:pPr>
            <w:r>
              <w:t>572.10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572.10</w:t>
            </w:r>
          </w:p>
        </w:tc>
        <w:tc>
          <w:tcPr>
            <w:tcW w:w="4535" w:type="dxa"/>
            <w:vAlign w:val="center"/>
          </w:tcPr>
          <w:p>
            <w:pPr>
              <w:pStyle w:val="14"/>
            </w:pPr>
            <w:r>
              <w:t>支出总计</w:t>
            </w:r>
          </w:p>
        </w:tc>
        <w:tc>
          <w:tcPr>
            <w:tcW w:w="2126" w:type="dxa"/>
            <w:vAlign w:val="center"/>
          </w:tcPr>
          <w:p>
            <w:pPr>
              <w:pStyle w:val="15"/>
            </w:pPr>
            <w:r>
              <w:t>572.10</w:t>
            </w:r>
          </w:p>
        </w:tc>
      </w:tr>
    </w:tbl>
    <w:p>
      <w:pP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438保定市人民政府外事办公室</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572.10</w:t>
            </w:r>
          </w:p>
        </w:tc>
        <w:tc>
          <w:tcPr>
            <w:tcW w:w="1134" w:type="dxa"/>
            <w:vAlign w:val="center"/>
          </w:tcPr>
          <w:p>
            <w:pPr>
              <w:pStyle w:val="15"/>
            </w:pPr>
            <w:r>
              <w:t>572.10</w:t>
            </w:r>
          </w:p>
        </w:tc>
        <w:tc>
          <w:tcPr>
            <w:tcW w:w="1134" w:type="dxa"/>
            <w:vAlign w:val="center"/>
          </w:tcPr>
          <w:p>
            <w:pPr>
              <w:pStyle w:val="15"/>
            </w:pPr>
            <w:r>
              <w:t>497.23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74.87</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436.52</w:t>
            </w:r>
          </w:p>
        </w:tc>
        <w:tc>
          <w:tcPr>
            <w:tcW w:w="1134" w:type="dxa"/>
            <w:vAlign w:val="center"/>
          </w:tcPr>
          <w:p>
            <w:pPr>
              <w:pStyle w:val="11"/>
            </w:pPr>
            <w:r>
              <w:t>436.52</w:t>
            </w:r>
          </w:p>
        </w:tc>
        <w:tc>
          <w:tcPr>
            <w:tcW w:w="1134" w:type="dxa"/>
            <w:vAlign w:val="center"/>
          </w:tcPr>
          <w:p>
            <w:pPr>
              <w:pStyle w:val="11"/>
            </w:pPr>
            <w:r>
              <w:t>385.16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51.36</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436.52</w:t>
            </w:r>
          </w:p>
        </w:tc>
        <w:tc>
          <w:tcPr>
            <w:tcW w:w="1134" w:type="dxa"/>
            <w:vAlign w:val="center"/>
          </w:tcPr>
          <w:p>
            <w:pPr>
              <w:pStyle w:val="11"/>
            </w:pPr>
            <w:r>
              <w:t>436.52</w:t>
            </w:r>
          </w:p>
        </w:tc>
        <w:tc>
          <w:tcPr>
            <w:tcW w:w="1134" w:type="dxa"/>
            <w:vAlign w:val="center"/>
          </w:tcPr>
          <w:p>
            <w:pPr>
              <w:pStyle w:val="11"/>
            </w:pPr>
            <w:r>
              <w:t>385.16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51.36</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246.88</w:t>
            </w:r>
          </w:p>
        </w:tc>
        <w:tc>
          <w:tcPr>
            <w:tcW w:w="1134" w:type="dxa"/>
            <w:vAlign w:val="center"/>
          </w:tcPr>
          <w:p>
            <w:pPr>
              <w:pStyle w:val="11"/>
            </w:pPr>
            <w:r>
              <w:t>246.88</w:t>
            </w:r>
          </w:p>
        </w:tc>
        <w:tc>
          <w:tcPr>
            <w:tcW w:w="1134" w:type="dxa"/>
            <w:vAlign w:val="center"/>
          </w:tcPr>
          <w:p>
            <w:pPr>
              <w:pStyle w:val="11"/>
            </w:pPr>
            <w:r>
              <w:t>246.88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2010350</w:t>
            </w:r>
          </w:p>
        </w:tc>
        <w:tc>
          <w:tcPr>
            <w:tcW w:w="1559" w:type="dxa"/>
            <w:vAlign w:val="center"/>
          </w:tcPr>
          <w:p>
            <w:pPr>
              <w:pStyle w:val="12"/>
            </w:pPr>
            <w:r>
              <w:t>事业运行</w:t>
            </w:r>
          </w:p>
        </w:tc>
        <w:tc>
          <w:tcPr>
            <w:tcW w:w="1134" w:type="dxa"/>
            <w:vAlign w:val="center"/>
          </w:tcPr>
          <w:p>
            <w:pPr>
              <w:pStyle w:val="11"/>
            </w:pPr>
            <w:r>
              <w:t>189.64</w:t>
            </w:r>
          </w:p>
        </w:tc>
        <w:tc>
          <w:tcPr>
            <w:tcW w:w="1134" w:type="dxa"/>
            <w:vAlign w:val="center"/>
          </w:tcPr>
          <w:p>
            <w:pPr>
              <w:pStyle w:val="11"/>
            </w:pPr>
            <w:r>
              <w:t>189.64</w:t>
            </w:r>
          </w:p>
        </w:tc>
        <w:tc>
          <w:tcPr>
            <w:tcW w:w="1134" w:type="dxa"/>
            <w:vAlign w:val="center"/>
          </w:tcPr>
          <w:p>
            <w:pPr>
              <w:pStyle w:val="11"/>
            </w:pPr>
            <w:r>
              <w:t>138.28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51.36</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73.04</w:t>
            </w:r>
          </w:p>
        </w:tc>
        <w:tc>
          <w:tcPr>
            <w:tcW w:w="1134" w:type="dxa"/>
            <w:vAlign w:val="center"/>
          </w:tcPr>
          <w:p>
            <w:pPr>
              <w:pStyle w:val="11"/>
            </w:pPr>
            <w:r>
              <w:t>73.04</w:t>
            </w:r>
          </w:p>
        </w:tc>
        <w:tc>
          <w:tcPr>
            <w:tcW w:w="1134" w:type="dxa"/>
            <w:vAlign w:val="center"/>
          </w:tcPr>
          <w:p>
            <w:pPr>
              <w:pStyle w:val="11"/>
            </w:pPr>
            <w:r>
              <w:t>60.33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12.71</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73.04</w:t>
            </w:r>
          </w:p>
        </w:tc>
        <w:tc>
          <w:tcPr>
            <w:tcW w:w="1134" w:type="dxa"/>
            <w:vAlign w:val="center"/>
          </w:tcPr>
          <w:p>
            <w:pPr>
              <w:pStyle w:val="11"/>
            </w:pPr>
            <w:r>
              <w:t>73.04</w:t>
            </w:r>
          </w:p>
        </w:tc>
        <w:tc>
          <w:tcPr>
            <w:tcW w:w="1134" w:type="dxa"/>
            <w:vAlign w:val="center"/>
          </w:tcPr>
          <w:p>
            <w:pPr>
              <w:pStyle w:val="11"/>
            </w:pPr>
            <w:r>
              <w:t>60.33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12.71</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29.26</w:t>
            </w:r>
          </w:p>
        </w:tc>
        <w:tc>
          <w:tcPr>
            <w:tcW w:w="1134" w:type="dxa"/>
            <w:vAlign w:val="center"/>
          </w:tcPr>
          <w:p>
            <w:pPr>
              <w:pStyle w:val="11"/>
            </w:pPr>
            <w:r>
              <w:t>29.26</w:t>
            </w:r>
          </w:p>
        </w:tc>
        <w:tc>
          <w:tcPr>
            <w:tcW w:w="1134" w:type="dxa"/>
            <w:vAlign w:val="center"/>
          </w:tcPr>
          <w:p>
            <w:pPr>
              <w:pStyle w:val="11"/>
            </w:pPr>
            <w:r>
              <w:t>29.26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2.48</w:t>
            </w:r>
          </w:p>
        </w:tc>
        <w:tc>
          <w:tcPr>
            <w:tcW w:w="1134" w:type="dxa"/>
            <w:vAlign w:val="center"/>
          </w:tcPr>
          <w:p>
            <w:pPr>
              <w:pStyle w:val="11"/>
            </w:pPr>
            <w:r>
              <w:t>2.48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2.48</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37.89</w:t>
            </w:r>
          </w:p>
        </w:tc>
        <w:tc>
          <w:tcPr>
            <w:tcW w:w="1134" w:type="dxa"/>
            <w:vAlign w:val="center"/>
          </w:tcPr>
          <w:p>
            <w:pPr>
              <w:pStyle w:val="11"/>
            </w:pPr>
            <w:r>
              <w:t>37.89</w:t>
            </w:r>
          </w:p>
        </w:tc>
        <w:tc>
          <w:tcPr>
            <w:tcW w:w="1134" w:type="dxa"/>
            <w:vAlign w:val="center"/>
          </w:tcPr>
          <w:p>
            <w:pPr>
              <w:pStyle w:val="11"/>
            </w:pPr>
            <w:r>
              <w:t>31.07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6.82</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3.41</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34.11</w:t>
            </w:r>
          </w:p>
        </w:tc>
        <w:tc>
          <w:tcPr>
            <w:tcW w:w="1134" w:type="dxa"/>
            <w:vAlign w:val="center"/>
          </w:tcPr>
          <w:p>
            <w:pPr>
              <w:pStyle w:val="11"/>
            </w:pPr>
            <w:r>
              <w:t>34.11</w:t>
            </w:r>
          </w:p>
        </w:tc>
        <w:tc>
          <w:tcPr>
            <w:tcW w:w="1134" w:type="dxa"/>
            <w:vAlign w:val="center"/>
          </w:tcPr>
          <w:p>
            <w:pPr>
              <w:pStyle w:val="11"/>
            </w:pPr>
            <w:r>
              <w:t>28.43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5.68</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34.11</w:t>
            </w:r>
          </w:p>
        </w:tc>
        <w:tc>
          <w:tcPr>
            <w:tcW w:w="1134" w:type="dxa"/>
            <w:vAlign w:val="center"/>
          </w:tcPr>
          <w:p>
            <w:pPr>
              <w:pStyle w:val="11"/>
            </w:pPr>
            <w:r>
              <w:t>34.11</w:t>
            </w:r>
          </w:p>
        </w:tc>
        <w:tc>
          <w:tcPr>
            <w:tcW w:w="1134" w:type="dxa"/>
            <w:vAlign w:val="center"/>
          </w:tcPr>
          <w:p>
            <w:pPr>
              <w:pStyle w:val="11"/>
            </w:pPr>
            <w:r>
              <w:t>28.43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5.68</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12.70</w:t>
            </w:r>
          </w:p>
        </w:tc>
        <w:tc>
          <w:tcPr>
            <w:tcW w:w="1134" w:type="dxa"/>
            <w:vAlign w:val="center"/>
          </w:tcPr>
          <w:p>
            <w:pPr>
              <w:pStyle w:val="11"/>
            </w:pPr>
            <w:r>
              <w:t>12.70</w:t>
            </w:r>
          </w:p>
        </w:tc>
        <w:tc>
          <w:tcPr>
            <w:tcW w:w="1134" w:type="dxa"/>
            <w:vAlign w:val="center"/>
          </w:tcPr>
          <w:p>
            <w:pPr>
              <w:pStyle w:val="11"/>
            </w:pPr>
            <w:r>
              <w:t>12.70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2.79</w:t>
            </w:r>
          </w:p>
        </w:tc>
        <w:tc>
          <w:tcPr>
            <w:tcW w:w="1134" w:type="dxa"/>
            <w:vAlign w:val="center"/>
          </w:tcPr>
          <w:p>
            <w:pPr>
              <w:pStyle w:val="11"/>
            </w:pPr>
            <w:r>
              <w:t>2.79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2.79</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18.62</w:t>
            </w:r>
          </w:p>
        </w:tc>
        <w:tc>
          <w:tcPr>
            <w:tcW w:w="1134" w:type="dxa"/>
            <w:vAlign w:val="center"/>
          </w:tcPr>
          <w:p>
            <w:pPr>
              <w:pStyle w:val="11"/>
            </w:pPr>
            <w:r>
              <w:t>18.62</w:t>
            </w:r>
          </w:p>
        </w:tc>
        <w:tc>
          <w:tcPr>
            <w:tcW w:w="1134" w:type="dxa"/>
            <w:vAlign w:val="center"/>
          </w:tcPr>
          <w:p>
            <w:pPr>
              <w:pStyle w:val="11"/>
            </w:pPr>
            <w:r>
              <w:t>15.73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2.89</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28.43</w:t>
            </w:r>
          </w:p>
        </w:tc>
        <w:tc>
          <w:tcPr>
            <w:tcW w:w="1134" w:type="dxa"/>
            <w:vAlign w:val="center"/>
          </w:tcPr>
          <w:p>
            <w:pPr>
              <w:pStyle w:val="11"/>
            </w:pPr>
            <w:r>
              <w:t>28.43</w:t>
            </w:r>
          </w:p>
        </w:tc>
        <w:tc>
          <w:tcPr>
            <w:tcW w:w="1134" w:type="dxa"/>
            <w:vAlign w:val="center"/>
          </w:tcPr>
          <w:p>
            <w:pPr>
              <w:pStyle w:val="11"/>
            </w:pPr>
            <w:r>
              <w:t>23.31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5.12</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28.43</w:t>
            </w:r>
          </w:p>
        </w:tc>
        <w:tc>
          <w:tcPr>
            <w:tcW w:w="1134" w:type="dxa"/>
            <w:vAlign w:val="center"/>
          </w:tcPr>
          <w:p>
            <w:pPr>
              <w:pStyle w:val="11"/>
            </w:pPr>
            <w:r>
              <w:t>28.43</w:t>
            </w:r>
          </w:p>
        </w:tc>
        <w:tc>
          <w:tcPr>
            <w:tcW w:w="1134" w:type="dxa"/>
            <w:vAlign w:val="center"/>
          </w:tcPr>
          <w:p>
            <w:pPr>
              <w:pStyle w:val="11"/>
            </w:pPr>
            <w:r>
              <w:t>23.31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5.12</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28.43</w:t>
            </w:r>
          </w:p>
        </w:tc>
        <w:tc>
          <w:tcPr>
            <w:tcW w:w="1134" w:type="dxa"/>
            <w:vAlign w:val="center"/>
          </w:tcPr>
          <w:p>
            <w:pPr>
              <w:pStyle w:val="11"/>
            </w:pPr>
            <w:r>
              <w:t>28.43</w:t>
            </w:r>
          </w:p>
        </w:tc>
        <w:tc>
          <w:tcPr>
            <w:tcW w:w="1134" w:type="dxa"/>
            <w:vAlign w:val="center"/>
          </w:tcPr>
          <w:p>
            <w:pPr>
              <w:pStyle w:val="11"/>
            </w:pPr>
            <w:r>
              <w:t>23.31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5.12</w:t>
            </w: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438保定市人民政府外事办公室</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572.10</w:t>
            </w:r>
          </w:p>
        </w:tc>
        <w:tc>
          <w:tcPr>
            <w:tcW w:w="1361" w:type="dxa"/>
            <w:vAlign w:val="center"/>
          </w:tcPr>
          <w:p>
            <w:pPr>
              <w:pStyle w:val="15"/>
            </w:pPr>
            <w:r>
              <w:t>450.10</w:t>
            </w:r>
          </w:p>
        </w:tc>
        <w:tc>
          <w:tcPr>
            <w:tcW w:w="1361" w:type="dxa"/>
            <w:vAlign w:val="center"/>
          </w:tcPr>
          <w:p>
            <w:pPr>
              <w:pStyle w:val="15"/>
            </w:pPr>
            <w:r>
              <w:t>122.00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436.52</w:t>
            </w:r>
          </w:p>
        </w:tc>
        <w:tc>
          <w:tcPr>
            <w:tcW w:w="1361" w:type="dxa"/>
            <w:vAlign w:val="center"/>
          </w:tcPr>
          <w:p>
            <w:pPr>
              <w:pStyle w:val="11"/>
            </w:pPr>
            <w:r>
              <w:t>314.52</w:t>
            </w:r>
          </w:p>
        </w:tc>
        <w:tc>
          <w:tcPr>
            <w:tcW w:w="1361" w:type="dxa"/>
            <w:vAlign w:val="center"/>
          </w:tcPr>
          <w:p>
            <w:pPr>
              <w:pStyle w:val="11"/>
            </w:pPr>
            <w:r>
              <w:t>122.00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436.52</w:t>
            </w:r>
          </w:p>
        </w:tc>
        <w:tc>
          <w:tcPr>
            <w:tcW w:w="1361" w:type="dxa"/>
            <w:vAlign w:val="center"/>
          </w:tcPr>
          <w:p>
            <w:pPr>
              <w:pStyle w:val="11"/>
            </w:pPr>
            <w:r>
              <w:t>314.52</w:t>
            </w:r>
          </w:p>
        </w:tc>
        <w:tc>
          <w:tcPr>
            <w:tcW w:w="1361" w:type="dxa"/>
            <w:vAlign w:val="center"/>
          </w:tcPr>
          <w:p>
            <w:pPr>
              <w:pStyle w:val="11"/>
            </w:pPr>
            <w:r>
              <w:t>122.00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246.88</w:t>
            </w:r>
          </w:p>
        </w:tc>
        <w:tc>
          <w:tcPr>
            <w:tcW w:w="1361" w:type="dxa"/>
            <w:vAlign w:val="center"/>
          </w:tcPr>
          <w:p>
            <w:pPr>
              <w:pStyle w:val="11"/>
            </w:pPr>
            <w:r>
              <w:t>216.88</w:t>
            </w:r>
          </w:p>
        </w:tc>
        <w:tc>
          <w:tcPr>
            <w:tcW w:w="1361" w:type="dxa"/>
            <w:vAlign w:val="center"/>
          </w:tcPr>
          <w:p>
            <w:pPr>
              <w:pStyle w:val="11"/>
            </w:pPr>
            <w:r>
              <w:t>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2010350</w:t>
            </w:r>
          </w:p>
        </w:tc>
        <w:tc>
          <w:tcPr>
            <w:tcW w:w="4535" w:type="dxa"/>
            <w:vAlign w:val="center"/>
          </w:tcPr>
          <w:p>
            <w:pPr>
              <w:pStyle w:val="12"/>
            </w:pPr>
            <w:r>
              <w:t>事业运行</w:t>
            </w:r>
          </w:p>
        </w:tc>
        <w:tc>
          <w:tcPr>
            <w:tcW w:w="1361" w:type="dxa"/>
            <w:vAlign w:val="center"/>
          </w:tcPr>
          <w:p>
            <w:pPr>
              <w:pStyle w:val="11"/>
            </w:pPr>
            <w:r>
              <w:t>189.64</w:t>
            </w:r>
          </w:p>
        </w:tc>
        <w:tc>
          <w:tcPr>
            <w:tcW w:w="1361" w:type="dxa"/>
            <w:vAlign w:val="center"/>
          </w:tcPr>
          <w:p>
            <w:pPr>
              <w:pStyle w:val="11"/>
            </w:pPr>
            <w:r>
              <w:t>97.64</w:t>
            </w:r>
          </w:p>
        </w:tc>
        <w:tc>
          <w:tcPr>
            <w:tcW w:w="1361" w:type="dxa"/>
            <w:vAlign w:val="center"/>
          </w:tcPr>
          <w:p>
            <w:pPr>
              <w:pStyle w:val="11"/>
            </w:pPr>
            <w:r>
              <w:t>92.00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73.04</w:t>
            </w:r>
          </w:p>
        </w:tc>
        <w:tc>
          <w:tcPr>
            <w:tcW w:w="1361" w:type="dxa"/>
            <w:vAlign w:val="center"/>
          </w:tcPr>
          <w:p>
            <w:pPr>
              <w:pStyle w:val="11"/>
            </w:pPr>
            <w:r>
              <w:t>73.04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73.04</w:t>
            </w:r>
          </w:p>
        </w:tc>
        <w:tc>
          <w:tcPr>
            <w:tcW w:w="1361" w:type="dxa"/>
            <w:vAlign w:val="center"/>
          </w:tcPr>
          <w:p>
            <w:pPr>
              <w:pStyle w:val="11"/>
            </w:pPr>
            <w:r>
              <w:t>73.04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29.26</w:t>
            </w:r>
          </w:p>
        </w:tc>
        <w:tc>
          <w:tcPr>
            <w:tcW w:w="1361" w:type="dxa"/>
            <w:vAlign w:val="center"/>
          </w:tcPr>
          <w:p>
            <w:pPr>
              <w:pStyle w:val="11"/>
            </w:pPr>
            <w:r>
              <w:t>29.26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2.48</w:t>
            </w:r>
          </w:p>
        </w:tc>
        <w:tc>
          <w:tcPr>
            <w:tcW w:w="1361" w:type="dxa"/>
            <w:vAlign w:val="center"/>
          </w:tcPr>
          <w:p>
            <w:pPr>
              <w:pStyle w:val="11"/>
            </w:pPr>
            <w:r>
              <w:t>2.48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37.89</w:t>
            </w:r>
          </w:p>
        </w:tc>
        <w:tc>
          <w:tcPr>
            <w:tcW w:w="1361" w:type="dxa"/>
            <w:vAlign w:val="center"/>
          </w:tcPr>
          <w:p>
            <w:pPr>
              <w:pStyle w:val="11"/>
            </w:pPr>
            <w:r>
              <w:t>37.89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34.11</w:t>
            </w:r>
          </w:p>
        </w:tc>
        <w:tc>
          <w:tcPr>
            <w:tcW w:w="1361" w:type="dxa"/>
            <w:vAlign w:val="center"/>
          </w:tcPr>
          <w:p>
            <w:pPr>
              <w:pStyle w:val="11"/>
            </w:pPr>
            <w:r>
              <w:t>34.11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34.11</w:t>
            </w:r>
          </w:p>
        </w:tc>
        <w:tc>
          <w:tcPr>
            <w:tcW w:w="1361" w:type="dxa"/>
            <w:vAlign w:val="center"/>
          </w:tcPr>
          <w:p>
            <w:pPr>
              <w:pStyle w:val="11"/>
            </w:pPr>
            <w:r>
              <w:t>34.11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12.70</w:t>
            </w:r>
          </w:p>
        </w:tc>
        <w:tc>
          <w:tcPr>
            <w:tcW w:w="1361" w:type="dxa"/>
            <w:vAlign w:val="center"/>
          </w:tcPr>
          <w:p>
            <w:pPr>
              <w:pStyle w:val="11"/>
            </w:pPr>
            <w:r>
              <w:t>12.70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2.79</w:t>
            </w:r>
          </w:p>
        </w:tc>
        <w:tc>
          <w:tcPr>
            <w:tcW w:w="1361" w:type="dxa"/>
            <w:vAlign w:val="center"/>
          </w:tcPr>
          <w:p>
            <w:pPr>
              <w:pStyle w:val="11"/>
            </w:pPr>
            <w:r>
              <w:t>2.79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18.62</w:t>
            </w:r>
          </w:p>
        </w:tc>
        <w:tc>
          <w:tcPr>
            <w:tcW w:w="1361" w:type="dxa"/>
            <w:vAlign w:val="center"/>
          </w:tcPr>
          <w:p>
            <w:pPr>
              <w:pStyle w:val="11"/>
            </w:pPr>
            <w:r>
              <w:t>18.62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28.43</w:t>
            </w:r>
          </w:p>
        </w:tc>
        <w:tc>
          <w:tcPr>
            <w:tcW w:w="1361" w:type="dxa"/>
            <w:vAlign w:val="center"/>
          </w:tcPr>
          <w:p>
            <w:pPr>
              <w:pStyle w:val="11"/>
            </w:pPr>
            <w:r>
              <w:t>28.43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28.43</w:t>
            </w:r>
          </w:p>
        </w:tc>
        <w:tc>
          <w:tcPr>
            <w:tcW w:w="1361" w:type="dxa"/>
            <w:vAlign w:val="center"/>
          </w:tcPr>
          <w:p>
            <w:pPr>
              <w:pStyle w:val="11"/>
            </w:pPr>
            <w:r>
              <w:t>28.43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28.43</w:t>
            </w:r>
          </w:p>
        </w:tc>
        <w:tc>
          <w:tcPr>
            <w:tcW w:w="1361" w:type="dxa"/>
            <w:vAlign w:val="center"/>
          </w:tcPr>
          <w:p>
            <w:pPr>
              <w:pStyle w:val="11"/>
            </w:pPr>
            <w:r>
              <w:t>28.43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438保定市人民政府外事办公室</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497.23</w:t>
            </w:r>
          </w:p>
        </w:tc>
        <w:tc>
          <w:tcPr>
            <w:tcW w:w="3402" w:type="dxa"/>
            <w:vAlign w:val="center"/>
          </w:tcPr>
          <w:p>
            <w:pPr>
              <w:pStyle w:val="12"/>
            </w:pPr>
            <w:r>
              <w:t>一、一般公共服务支出</w:t>
            </w:r>
          </w:p>
        </w:tc>
        <w:tc>
          <w:tcPr>
            <w:tcW w:w="1474" w:type="dxa"/>
            <w:vAlign w:val="center"/>
          </w:tcPr>
          <w:p>
            <w:pPr>
              <w:pStyle w:val="11"/>
            </w:pPr>
            <w:r>
              <w:t>385.16</w:t>
            </w:r>
          </w:p>
        </w:tc>
        <w:tc>
          <w:tcPr>
            <w:tcW w:w="1474" w:type="dxa"/>
            <w:vAlign w:val="center"/>
          </w:tcPr>
          <w:p>
            <w:pPr>
              <w:pStyle w:val="11"/>
            </w:pPr>
            <w:r>
              <w:t>385.16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60.33</w:t>
            </w:r>
          </w:p>
        </w:tc>
        <w:tc>
          <w:tcPr>
            <w:tcW w:w="1474" w:type="dxa"/>
            <w:vAlign w:val="center"/>
          </w:tcPr>
          <w:p>
            <w:pPr>
              <w:pStyle w:val="11"/>
            </w:pPr>
            <w:r>
              <w:t>60.33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28.43</w:t>
            </w:r>
          </w:p>
        </w:tc>
        <w:tc>
          <w:tcPr>
            <w:tcW w:w="1474" w:type="dxa"/>
            <w:vAlign w:val="center"/>
          </w:tcPr>
          <w:p>
            <w:pPr>
              <w:pStyle w:val="11"/>
            </w:pPr>
            <w:r>
              <w:t>28.43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23.31</w:t>
            </w:r>
          </w:p>
        </w:tc>
        <w:tc>
          <w:tcPr>
            <w:tcW w:w="1474" w:type="dxa"/>
            <w:vAlign w:val="center"/>
          </w:tcPr>
          <w:p>
            <w:pPr>
              <w:pStyle w:val="11"/>
            </w:pPr>
            <w:r>
              <w:t>23.31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497.23</w:t>
            </w:r>
          </w:p>
        </w:tc>
        <w:tc>
          <w:tcPr>
            <w:tcW w:w="3402" w:type="dxa"/>
            <w:vAlign w:val="center"/>
          </w:tcPr>
          <w:p>
            <w:pPr>
              <w:pStyle w:val="14"/>
            </w:pPr>
            <w:r>
              <w:t>本年支出合计</w:t>
            </w:r>
          </w:p>
        </w:tc>
        <w:tc>
          <w:tcPr>
            <w:tcW w:w="1474" w:type="dxa"/>
            <w:vAlign w:val="center"/>
          </w:tcPr>
          <w:p>
            <w:pPr>
              <w:pStyle w:val="15"/>
            </w:pPr>
            <w:r>
              <w:t>497.23</w:t>
            </w:r>
          </w:p>
        </w:tc>
        <w:tc>
          <w:tcPr>
            <w:tcW w:w="1474" w:type="dxa"/>
            <w:vAlign w:val="center"/>
          </w:tcPr>
          <w:p>
            <w:pPr>
              <w:pStyle w:val="15"/>
            </w:pPr>
            <w:r>
              <w:t>497.23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497.23</w:t>
            </w:r>
          </w:p>
        </w:tc>
        <w:tc>
          <w:tcPr>
            <w:tcW w:w="3402" w:type="dxa"/>
            <w:vAlign w:val="center"/>
          </w:tcPr>
          <w:p>
            <w:pPr>
              <w:pStyle w:val="14"/>
            </w:pPr>
            <w:r>
              <w:t>支出总计</w:t>
            </w:r>
          </w:p>
        </w:tc>
        <w:tc>
          <w:tcPr>
            <w:tcW w:w="1474" w:type="dxa"/>
            <w:vAlign w:val="center"/>
          </w:tcPr>
          <w:p>
            <w:pPr>
              <w:pStyle w:val="15"/>
            </w:pPr>
            <w:r>
              <w:t>497.23</w:t>
            </w:r>
          </w:p>
        </w:tc>
        <w:tc>
          <w:tcPr>
            <w:tcW w:w="1474" w:type="dxa"/>
            <w:vAlign w:val="center"/>
          </w:tcPr>
          <w:p>
            <w:pPr>
              <w:pStyle w:val="15"/>
            </w:pPr>
            <w:r>
              <w:t>497.23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438保定市人民政府外事办公室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497.23</w:t>
            </w:r>
          </w:p>
        </w:tc>
        <w:tc>
          <w:tcPr>
            <w:tcW w:w="2551" w:type="dxa"/>
            <w:vAlign w:val="center"/>
          </w:tcPr>
          <w:p>
            <w:pPr>
              <w:pStyle w:val="15"/>
            </w:pPr>
            <w:r>
              <w:t>375.23</w:t>
            </w:r>
          </w:p>
        </w:tc>
        <w:tc>
          <w:tcPr>
            <w:tcW w:w="2551" w:type="dxa"/>
            <w:vAlign w:val="center"/>
          </w:tcPr>
          <w:p>
            <w:pPr>
              <w:pStyle w:val="15"/>
            </w:pPr>
            <w:r>
              <w:t>122.00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385.16</w:t>
            </w:r>
          </w:p>
        </w:tc>
        <w:tc>
          <w:tcPr>
            <w:tcW w:w="2551" w:type="dxa"/>
            <w:vAlign w:val="center"/>
          </w:tcPr>
          <w:p>
            <w:pPr>
              <w:pStyle w:val="11"/>
            </w:pPr>
            <w:r>
              <w:t>263.16</w:t>
            </w:r>
          </w:p>
        </w:tc>
        <w:tc>
          <w:tcPr>
            <w:tcW w:w="2551" w:type="dxa"/>
            <w:vAlign w:val="center"/>
          </w:tcPr>
          <w:p>
            <w:pPr>
              <w:pStyle w:val="11"/>
            </w:pPr>
            <w:r>
              <w:t>122.00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385.16</w:t>
            </w:r>
          </w:p>
        </w:tc>
        <w:tc>
          <w:tcPr>
            <w:tcW w:w="2551" w:type="dxa"/>
            <w:vAlign w:val="center"/>
          </w:tcPr>
          <w:p>
            <w:pPr>
              <w:pStyle w:val="11"/>
            </w:pPr>
            <w:r>
              <w:t>263.16</w:t>
            </w:r>
          </w:p>
        </w:tc>
        <w:tc>
          <w:tcPr>
            <w:tcW w:w="2551" w:type="dxa"/>
            <w:vAlign w:val="center"/>
          </w:tcPr>
          <w:p>
            <w:pPr>
              <w:pStyle w:val="11"/>
            </w:pPr>
            <w:r>
              <w:t>122.00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246.88</w:t>
            </w:r>
          </w:p>
        </w:tc>
        <w:tc>
          <w:tcPr>
            <w:tcW w:w="2551" w:type="dxa"/>
            <w:vAlign w:val="center"/>
          </w:tcPr>
          <w:p>
            <w:pPr>
              <w:pStyle w:val="11"/>
            </w:pPr>
            <w:r>
              <w:t>216.88</w:t>
            </w:r>
          </w:p>
        </w:tc>
        <w:tc>
          <w:tcPr>
            <w:tcW w:w="2551"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2010350</w:t>
            </w:r>
          </w:p>
        </w:tc>
        <w:tc>
          <w:tcPr>
            <w:tcW w:w="4535" w:type="dxa"/>
            <w:vAlign w:val="center"/>
          </w:tcPr>
          <w:p>
            <w:pPr>
              <w:pStyle w:val="12"/>
            </w:pPr>
            <w:r>
              <w:t>事业运行</w:t>
            </w:r>
          </w:p>
        </w:tc>
        <w:tc>
          <w:tcPr>
            <w:tcW w:w="2551" w:type="dxa"/>
            <w:vAlign w:val="center"/>
          </w:tcPr>
          <w:p>
            <w:pPr>
              <w:pStyle w:val="11"/>
            </w:pPr>
            <w:r>
              <w:t>138.28</w:t>
            </w:r>
          </w:p>
        </w:tc>
        <w:tc>
          <w:tcPr>
            <w:tcW w:w="2551" w:type="dxa"/>
            <w:vAlign w:val="center"/>
          </w:tcPr>
          <w:p>
            <w:pPr>
              <w:pStyle w:val="11"/>
            </w:pPr>
            <w:r>
              <w:t>46.28</w:t>
            </w:r>
          </w:p>
        </w:tc>
        <w:tc>
          <w:tcPr>
            <w:tcW w:w="2551" w:type="dxa"/>
            <w:vAlign w:val="center"/>
          </w:tcPr>
          <w:p>
            <w:pPr>
              <w:pStyle w:val="11"/>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60.33</w:t>
            </w:r>
          </w:p>
        </w:tc>
        <w:tc>
          <w:tcPr>
            <w:tcW w:w="2551" w:type="dxa"/>
            <w:vAlign w:val="center"/>
          </w:tcPr>
          <w:p>
            <w:pPr>
              <w:pStyle w:val="11"/>
            </w:pPr>
            <w:r>
              <w:t>60.33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60.33</w:t>
            </w:r>
          </w:p>
        </w:tc>
        <w:tc>
          <w:tcPr>
            <w:tcW w:w="2551" w:type="dxa"/>
            <w:vAlign w:val="center"/>
          </w:tcPr>
          <w:p>
            <w:pPr>
              <w:pStyle w:val="11"/>
            </w:pPr>
            <w:r>
              <w:t>60.33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29.26</w:t>
            </w:r>
          </w:p>
        </w:tc>
        <w:tc>
          <w:tcPr>
            <w:tcW w:w="2551" w:type="dxa"/>
            <w:vAlign w:val="center"/>
          </w:tcPr>
          <w:p>
            <w:pPr>
              <w:pStyle w:val="11"/>
            </w:pPr>
            <w:r>
              <w:t>29.26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31.07</w:t>
            </w:r>
          </w:p>
        </w:tc>
        <w:tc>
          <w:tcPr>
            <w:tcW w:w="2551" w:type="dxa"/>
            <w:vAlign w:val="center"/>
          </w:tcPr>
          <w:p>
            <w:pPr>
              <w:pStyle w:val="11"/>
            </w:pPr>
            <w:r>
              <w:t>31.07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28.43</w:t>
            </w:r>
          </w:p>
        </w:tc>
        <w:tc>
          <w:tcPr>
            <w:tcW w:w="2551" w:type="dxa"/>
            <w:vAlign w:val="center"/>
          </w:tcPr>
          <w:p>
            <w:pPr>
              <w:pStyle w:val="11"/>
            </w:pPr>
            <w:r>
              <w:t>28.43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28.43</w:t>
            </w:r>
          </w:p>
        </w:tc>
        <w:tc>
          <w:tcPr>
            <w:tcW w:w="2551" w:type="dxa"/>
            <w:vAlign w:val="center"/>
          </w:tcPr>
          <w:p>
            <w:pPr>
              <w:pStyle w:val="11"/>
            </w:pPr>
            <w:r>
              <w:t>28.43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12.70</w:t>
            </w:r>
          </w:p>
        </w:tc>
        <w:tc>
          <w:tcPr>
            <w:tcW w:w="2551" w:type="dxa"/>
            <w:vAlign w:val="center"/>
          </w:tcPr>
          <w:p>
            <w:pPr>
              <w:pStyle w:val="11"/>
            </w:pPr>
            <w:r>
              <w:t>12.70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15.73</w:t>
            </w:r>
          </w:p>
        </w:tc>
        <w:tc>
          <w:tcPr>
            <w:tcW w:w="2551" w:type="dxa"/>
            <w:vAlign w:val="center"/>
          </w:tcPr>
          <w:p>
            <w:pPr>
              <w:pStyle w:val="11"/>
            </w:pPr>
            <w:r>
              <w:t>15.73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23.31</w:t>
            </w:r>
          </w:p>
        </w:tc>
        <w:tc>
          <w:tcPr>
            <w:tcW w:w="2551" w:type="dxa"/>
            <w:vAlign w:val="center"/>
          </w:tcPr>
          <w:p>
            <w:pPr>
              <w:pStyle w:val="11"/>
            </w:pPr>
            <w:r>
              <w:t>23.31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23.31</w:t>
            </w:r>
          </w:p>
        </w:tc>
        <w:tc>
          <w:tcPr>
            <w:tcW w:w="2551" w:type="dxa"/>
            <w:vAlign w:val="center"/>
          </w:tcPr>
          <w:p>
            <w:pPr>
              <w:pStyle w:val="11"/>
            </w:pPr>
            <w:r>
              <w:t>23.31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23.31</w:t>
            </w:r>
          </w:p>
        </w:tc>
        <w:tc>
          <w:tcPr>
            <w:tcW w:w="2551" w:type="dxa"/>
            <w:vAlign w:val="center"/>
          </w:tcPr>
          <w:p>
            <w:pPr>
              <w:pStyle w:val="11"/>
            </w:pPr>
            <w:r>
              <w:t>23.31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438保定市人民政府外事办公室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375.23</w:t>
            </w:r>
          </w:p>
        </w:tc>
        <w:tc>
          <w:tcPr>
            <w:tcW w:w="2551" w:type="dxa"/>
            <w:vAlign w:val="center"/>
          </w:tcPr>
          <w:p>
            <w:pPr>
              <w:pStyle w:val="15"/>
            </w:pPr>
            <w:r>
              <w:t>325.98</w:t>
            </w:r>
          </w:p>
        </w:tc>
        <w:tc>
          <w:tcPr>
            <w:tcW w:w="2551" w:type="dxa"/>
            <w:vAlign w:val="center"/>
          </w:tcPr>
          <w:p>
            <w:pPr>
              <w:pStyle w:val="15"/>
            </w:pPr>
            <w:r>
              <w:t>49.25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299.59</w:t>
            </w:r>
          </w:p>
        </w:tc>
        <w:tc>
          <w:tcPr>
            <w:tcW w:w="2551" w:type="dxa"/>
            <w:vAlign w:val="center"/>
          </w:tcPr>
          <w:p>
            <w:pPr>
              <w:pStyle w:val="11"/>
            </w:pPr>
            <w:r>
              <w:t>299.59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108.75</w:t>
            </w:r>
          </w:p>
        </w:tc>
        <w:tc>
          <w:tcPr>
            <w:tcW w:w="2551" w:type="dxa"/>
            <w:vAlign w:val="center"/>
          </w:tcPr>
          <w:p>
            <w:pPr>
              <w:pStyle w:val="11"/>
            </w:pPr>
            <w:r>
              <w:t>108.75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97.98</w:t>
            </w:r>
          </w:p>
        </w:tc>
        <w:tc>
          <w:tcPr>
            <w:tcW w:w="2551" w:type="dxa"/>
            <w:vAlign w:val="center"/>
          </w:tcPr>
          <w:p>
            <w:pPr>
              <w:pStyle w:val="11"/>
            </w:pPr>
            <w:r>
              <w:t>97.98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9.07</w:t>
            </w:r>
          </w:p>
        </w:tc>
        <w:tc>
          <w:tcPr>
            <w:tcW w:w="2551" w:type="dxa"/>
            <w:vAlign w:val="center"/>
          </w:tcPr>
          <w:p>
            <w:pPr>
              <w:pStyle w:val="11"/>
            </w:pPr>
            <w:r>
              <w:t>9.07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31.07</w:t>
            </w:r>
          </w:p>
        </w:tc>
        <w:tc>
          <w:tcPr>
            <w:tcW w:w="2551" w:type="dxa"/>
            <w:vAlign w:val="center"/>
          </w:tcPr>
          <w:p>
            <w:pPr>
              <w:pStyle w:val="11"/>
            </w:pPr>
            <w:r>
              <w:t>31.07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12.44</w:t>
            </w:r>
          </w:p>
        </w:tc>
        <w:tc>
          <w:tcPr>
            <w:tcW w:w="2551" w:type="dxa"/>
            <w:vAlign w:val="center"/>
          </w:tcPr>
          <w:p>
            <w:pPr>
              <w:pStyle w:val="11"/>
            </w:pPr>
            <w:r>
              <w:t>12.44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15.73</w:t>
            </w:r>
          </w:p>
        </w:tc>
        <w:tc>
          <w:tcPr>
            <w:tcW w:w="2551" w:type="dxa"/>
            <w:vAlign w:val="center"/>
          </w:tcPr>
          <w:p>
            <w:pPr>
              <w:pStyle w:val="11"/>
            </w:pPr>
            <w:r>
              <w:t>15.73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1.24</w:t>
            </w:r>
          </w:p>
        </w:tc>
        <w:tc>
          <w:tcPr>
            <w:tcW w:w="2551" w:type="dxa"/>
            <w:vAlign w:val="center"/>
          </w:tcPr>
          <w:p>
            <w:pPr>
              <w:pStyle w:val="11"/>
            </w:pPr>
            <w:r>
              <w:t>1.24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23.31</w:t>
            </w:r>
          </w:p>
        </w:tc>
        <w:tc>
          <w:tcPr>
            <w:tcW w:w="2551" w:type="dxa"/>
            <w:vAlign w:val="center"/>
          </w:tcPr>
          <w:p>
            <w:pPr>
              <w:pStyle w:val="11"/>
            </w:pPr>
            <w:r>
              <w:t>23.31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49.25</w:t>
            </w:r>
          </w:p>
        </w:tc>
        <w:tc>
          <w:tcPr>
            <w:tcW w:w="2551" w:type="dxa"/>
            <w:vAlign w:val="center"/>
          </w:tcPr>
          <w:p>
            <w:pPr>
              <w:pStyle w:val="11"/>
            </w:pPr>
          </w:p>
        </w:tc>
        <w:tc>
          <w:tcPr>
            <w:tcW w:w="2551" w:type="dxa"/>
            <w:vAlign w:val="center"/>
          </w:tcPr>
          <w:p>
            <w:pPr>
              <w:pStyle w:val="11"/>
            </w:pPr>
            <w:r>
              <w:t>49.25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6.24</w:t>
            </w:r>
          </w:p>
        </w:tc>
        <w:tc>
          <w:tcPr>
            <w:tcW w:w="2551" w:type="dxa"/>
            <w:vAlign w:val="center"/>
          </w:tcPr>
          <w:p>
            <w:pPr>
              <w:pStyle w:val="11"/>
            </w:pPr>
          </w:p>
        </w:tc>
        <w:tc>
          <w:tcPr>
            <w:tcW w:w="2551" w:type="dxa"/>
            <w:vAlign w:val="center"/>
          </w:tcPr>
          <w:p>
            <w:pPr>
              <w:pStyle w:val="11"/>
            </w:pPr>
            <w: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12.83</w:t>
            </w:r>
          </w:p>
        </w:tc>
        <w:tc>
          <w:tcPr>
            <w:tcW w:w="2551" w:type="dxa"/>
            <w:vAlign w:val="center"/>
          </w:tcPr>
          <w:p>
            <w:pPr>
              <w:pStyle w:val="11"/>
            </w:pPr>
          </w:p>
        </w:tc>
        <w:tc>
          <w:tcPr>
            <w:tcW w:w="2551" w:type="dxa"/>
            <w:vAlign w:val="center"/>
          </w:tcPr>
          <w:p>
            <w:pPr>
              <w:pStyle w:val="11"/>
            </w:pPr>
            <w:r>
              <w:t>12.83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2.34</w:t>
            </w:r>
          </w:p>
        </w:tc>
        <w:tc>
          <w:tcPr>
            <w:tcW w:w="2551" w:type="dxa"/>
            <w:vAlign w:val="center"/>
          </w:tcPr>
          <w:p>
            <w:pPr>
              <w:pStyle w:val="11"/>
            </w:pPr>
          </w:p>
        </w:tc>
        <w:tc>
          <w:tcPr>
            <w:tcW w:w="2551" w:type="dxa"/>
            <w:vAlign w:val="center"/>
          </w:tcPr>
          <w:p>
            <w:pPr>
              <w:pStyle w:val="11"/>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2.73</w:t>
            </w:r>
          </w:p>
        </w:tc>
        <w:tc>
          <w:tcPr>
            <w:tcW w:w="2551" w:type="dxa"/>
            <w:vAlign w:val="center"/>
          </w:tcPr>
          <w:p>
            <w:pPr>
              <w:pStyle w:val="11"/>
            </w:pPr>
          </w:p>
        </w:tc>
        <w:tc>
          <w:tcPr>
            <w:tcW w:w="2551" w:type="dxa"/>
            <w:vAlign w:val="center"/>
          </w:tcPr>
          <w:p>
            <w:pPr>
              <w:pStyle w:val="11"/>
            </w:pPr>
            <w:r>
              <w:t>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2.70</w:t>
            </w:r>
          </w:p>
        </w:tc>
        <w:tc>
          <w:tcPr>
            <w:tcW w:w="2551" w:type="dxa"/>
            <w:vAlign w:val="center"/>
          </w:tcPr>
          <w:p>
            <w:pPr>
              <w:pStyle w:val="11"/>
            </w:pPr>
          </w:p>
        </w:tc>
        <w:tc>
          <w:tcPr>
            <w:tcW w:w="2551" w:type="dxa"/>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19.24</w:t>
            </w:r>
          </w:p>
        </w:tc>
        <w:tc>
          <w:tcPr>
            <w:tcW w:w="2551" w:type="dxa"/>
            <w:vAlign w:val="center"/>
          </w:tcPr>
          <w:p>
            <w:pPr>
              <w:pStyle w:val="11"/>
            </w:pPr>
          </w:p>
        </w:tc>
        <w:tc>
          <w:tcPr>
            <w:tcW w:w="2551" w:type="dxa"/>
            <w:vAlign w:val="center"/>
          </w:tcPr>
          <w:p>
            <w:pPr>
              <w:pStyle w:val="11"/>
            </w:pPr>
            <w:r>
              <w:t>19.24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3.17</w:t>
            </w:r>
          </w:p>
        </w:tc>
        <w:tc>
          <w:tcPr>
            <w:tcW w:w="2551" w:type="dxa"/>
            <w:vAlign w:val="center"/>
          </w:tcPr>
          <w:p>
            <w:pPr>
              <w:pStyle w:val="11"/>
            </w:pPr>
          </w:p>
        </w:tc>
        <w:tc>
          <w:tcPr>
            <w:tcW w:w="2551" w:type="dxa"/>
            <w:vAlign w:val="center"/>
          </w:tcPr>
          <w:p>
            <w:pPr>
              <w:pStyle w:val="11"/>
            </w:pPr>
            <w:r>
              <w:t>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26.39</w:t>
            </w:r>
          </w:p>
        </w:tc>
        <w:tc>
          <w:tcPr>
            <w:tcW w:w="2551" w:type="dxa"/>
            <w:vAlign w:val="center"/>
          </w:tcPr>
          <w:p>
            <w:pPr>
              <w:pStyle w:val="11"/>
            </w:pPr>
            <w:r>
              <w:t>26.39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11.27</w:t>
            </w:r>
          </w:p>
        </w:tc>
        <w:tc>
          <w:tcPr>
            <w:tcW w:w="2551" w:type="dxa"/>
            <w:vAlign w:val="center"/>
          </w:tcPr>
          <w:p>
            <w:pPr>
              <w:pStyle w:val="11"/>
            </w:pPr>
            <w:r>
              <w:t>11.27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15.10</w:t>
            </w:r>
          </w:p>
        </w:tc>
        <w:tc>
          <w:tcPr>
            <w:tcW w:w="2551" w:type="dxa"/>
            <w:vAlign w:val="center"/>
          </w:tcPr>
          <w:p>
            <w:pPr>
              <w:pStyle w:val="11"/>
            </w:pPr>
            <w:r>
              <w:t>15.10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0.02</w:t>
            </w:r>
          </w:p>
        </w:tc>
        <w:tc>
          <w:tcPr>
            <w:tcW w:w="2551" w:type="dxa"/>
            <w:vAlign w:val="center"/>
          </w:tcPr>
          <w:p>
            <w:pPr>
              <w:pStyle w:val="11"/>
            </w:pPr>
            <w:r>
              <w:t>0.02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438保定市人民政府外事办公室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438保定市人民政府外事办公室</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438保定市人民政府外事办公室</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16.20</w:t>
            </w:r>
          </w:p>
        </w:tc>
        <w:tc>
          <w:tcPr>
            <w:tcW w:w="2381" w:type="dxa"/>
            <w:vAlign w:val="center"/>
          </w:tcPr>
          <w:p>
            <w:pPr>
              <w:pStyle w:val="15"/>
            </w:pPr>
            <w:r>
              <w:t>16.20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16.20</w:t>
            </w:r>
          </w:p>
        </w:tc>
        <w:tc>
          <w:tcPr>
            <w:tcW w:w="2381" w:type="dxa"/>
            <w:vAlign w:val="center"/>
          </w:tcPr>
          <w:p>
            <w:pPr>
              <w:pStyle w:val="11"/>
            </w:pPr>
            <w:r>
              <w:t>16.20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r>
              <w:t>10.50</w:t>
            </w:r>
          </w:p>
        </w:tc>
        <w:tc>
          <w:tcPr>
            <w:tcW w:w="2381" w:type="dxa"/>
            <w:vAlign w:val="center"/>
          </w:tcPr>
          <w:p>
            <w:pPr>
              <w:pStyle w:val="11"/>
            </w:pPr>
            <w:r>
              <w:t>10.50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r>
              <w:t>10.50</w:t>
            </w:r>
          </w:p>
        </w:tc>
        <w:tc>
          <w:tcPr>
            <w:tcW w:w="2381" w:type="dxa"/>
            <w:vAlign w:val="center"/>
          </w:tcPr>
          <w:p>
            <w:pPr>
              <w:pStyle w:val="11"/>
            </w:pPr>
            <w:r>
              <w:t>10.50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r>
              <w:t>3.00</w:t>
            </w:r>
          </w:p>
        </w:tc>
        <w:tc>
          <w:tcPr>
            <w:tcW w:w="2381" w:type="dxa"/>
            <w:vAlign w:val="center"/>
          </w:tcPr>
          <w:p>
            <w:pPr>
              <w:pStyle w:val="11"/>
            </w:pPr>
            <w:r>
              <w:t>3.00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10</w:t>
            </w:r>
          </w:p>
        </w:tc>
        <w:tc>
          <w:tcPr>
            <w:tcW w:w="3798" w:type="dxa"/>
            <w:vAlign w:val="center"/>
          </w:tcPr>
          <w:p>
            <w:pPr>
              <w:pStyle w:val="12"/>
            </w:pPr>
            <w:r>
              <w:t>四、会议费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11</w:t>
            </w:r>
          </w:p>
        </w:tc>
        <w:tc>
          <w:tcPr>
            <w:tcW w:w="3798" w:type="dxa"/>
            <w:vAlign w:val="center"/>
          </w:tcPr>
          <w:p>
            <w:pPr>
              <w:pStyle w:val="12"/>
            </w:pPr>
            <w:r>
              <w:t>五、培训费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保定市人民政府外事办公室2022年部门预算信息公开情况说明</w:t>
      </w:r>
    </w:p>
    <w:p>
      <w:pPr>
        <w:jc w:val="center"/>
      </w:pPr>
      <w:r>
        <w:rPr>
          <w:rFonts w:ascii="方正小标宋_GBK" w:hAnsi="方正小标宋_GBK" w:eastAsia="方正小标宋_GBK" w:cs="方正小标宋_GBK"/>
          <w:color w:val="000000"/>
          <w:sz w:val="44"/>
        </w:rPr>
        <w:t>保定市人民政府外事办公室2022年部门预算信息公开情况说明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按照《预算法》、《地方预决算公开操作规程》和《关于进一步推进预算公开工作的实施意见》规定，现将保定市人民政府外事办公室2022年部门预算公开如下：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一、贯彻执行党和国家对外方针政策、涉港澳方针政策和法律法规。贯彻执行市委市政府外事、港澳工作的决策部署。拟订全市性外事、港澳工作规定。</w:t>
      </w:r>
    </w:p>
    <w:p>
      <w:pPr>
        <w:pStyle w:val="17"/>
      </w:pPr>
      <w:r>
        <w:t>二、贯彻执行和协调推进全市对外交流合作规划和部署，对全市外事工作履行综合归口管理职能。</w:t>
      </w:r>
    </w:p>
    <w:p>
      <w:pPr>
        <w:pStyle w:val="17"/>
      </w:pPr>
      <w:r>
        <w:t>三、承担我市涉港澳事务综合性工作，指导我市与港澳的交往。</w:t>
      </w:r>
    </w:p>
    <w:p>
      <w:pPr>
        <w:pStyle w:val="17"/>
      </w:pPr>
      <w:r>
        <w:t>四、承办市领导对外交往事宜，会同有关部门推动全市各领域对外交往。</w:t>
      </w:r>
    </w:p>
    <w:p>
      <w:pPr>
        <w:pStyle w:val="17"/>
      </w:pPr>
      <w:r>
        <w:t>五、负责指导和管理全市因公出国、赴港澳工作。</w:t>
      </w:r>
    </w:p>
    <w:p>
      <w:pPr>
        <w:pStyle w:val="17"/>
      </w:pPr>
      <w:r>
        <w:t>六、负责重要外宾邀请、报批工作，组织接待来访的党宾、国宾、政要等重要外宾及外国驻华外交人员。</w:t>
      </w:r>
    </w:p>
    <w:p>
      <w:pPr>
        <w:pStyle w:val="17"/>
      </w:pPr>
      <w:r>
        <w:t>七、负责我市境外机构和公民领事保护协调工作，统筹管理我市邀请外国人来华签证工作，会同和配合有关部门处理我市的涉外事务。</w:t>
      </w:r>
    </w:p>
    <w:p>
      <w:pPr>
        <w:pStyle w:val="17"/>
      </w:pPr>
      <w:r>
        <w:t>八、办理来我市采访的外国记者相关事务，会同或配合有关部门开展对外宣传工作；会同有关部门办理港澳记者来我市采访事宜。</w:t>
      </w:r>
    </w:p>
    <w:p>
      <w:pPr>
        <w:pStyle w:val="17"/>
      </w:pPr>
      <w:r>
        <w:t>九、统筹协调全市友好城市工作，指导保定市人民对外友好协会的工作。</w:t>
      </w:r>
    </w:p>
    <w:p>
      <w:pPr>
        <w:pStyle w:val="17"/>
      </w:pPr>
      <w:r>
        <w:t>十、完成省委外事工作委员会办公室、省政府外事办公室和市委、市政府交办的其他任务。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保定市人民政府外事办公室本级</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保定市人民政府外事办公室翻译室</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保定市外事服务中心</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财政性资金零补助</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按照预算管理有关规定，目前我省部门预算的编制实行综合预算管理，即全部收入和支出都反映在预算中。保定市人民政府外事办公室机关及所属事业单位的收支包含在部门预算中。</w:t>
      </w:r>
    </w:p>
    <w:p>
      <w:pPr>
        <w:pStyle w:val="18"/>
      </w:pPr>
      <w:r>
        <w:t>1、收入说明</w:t>
      </w:r>
    </w:p>
    <w:p>
      <w:pPr>
        <w:pStyle w:val="18"/>
      </w:pPr>
      <w:r>
        <w:t>反映本部门当年全部收入。2022年预算收入572.10万元，其中：一般公共预算收入572.10万元，基金预算收入0万元，国有资本经营预算收入0万元，财政专户核拨收入0万元，单位资金其他收入74.87万元，上年结转结余0万元。</w:t>
      </w:r>
    </w:p>
    <w:p>
      <w:pPr>
        <w:pStyle w:val="18"/>
      </w:pPr>
      <w:r>
        <w:t>2、支出说明</w:t>
      </w:r>
    </w:p>
    <w:p>
      <w:pPr>
        <w:pStyle w:val="18"/>
      </w:pPr>
      <w:r>
        <w:t>收支预算总表支出栏、基本支出表、项目支出表按经济分类和支出功能分类科目编制，反映</w:t>
      </w:r>
      <w:r>
        <w:rPr>
          <w:rFonts w:hint="eastAsia"/>
          <w:lang w:eastAsia="zh-CN"/>
        </w:rPr>
        <w:t>保定市</w:t>
      </w:r>
      <w:r>
        <w:t>人民政府外事办公室年度部门预算中支出预算的总体情况。2022年支出预算572.10万元，其中基本支出450.10万元，包括人员经费</w:t>
      </w:r>
      <w:r>
        <w:rPr>
          <w:lang w:val="uk-UA"/>
        </w:rPr>
        <w:t>397.23</w:t>
      </w:r>
      <w:r>
        <w:t>万元和日常公用经费52.87万元；项目支出122.00万元，主要为</w:t>
      </w:r>
      <w:r>
        <w:rPr>
          <w:rFonts w:hint="eastAsia"/>
          <w:lang w:eastAsia="zh-CN"/>
        </w:rPr>
        <w:t>外事</w:t>
      </w:r>
      <w:r>
        <w:t>专项活动开展资金、</w:t>
      </w:r>
      <w:r>
        <w:rPr>
          <w:rFonts w:hint="eastAsia"/>
          <w:lang w:eastAsia="zh-CN"/>
        </w:rPr>
        <w:t>购买</w:t>
      </w:r>
      <w:r>
        <w:t>社会服务资金等。</w:t>
      </w:r>
    </w:p>
    <w:p>
      <w:pPr>
        <w:pStyle w:val="18"/>
      </w:pPr>
      <w:r>
        <w:t>3、比上年增减情况</w:t>
      </w:r>
    </w:p>
    <w:p>
      <w:pPr>
        <w:pStyle w:val="18"/>
        <w:rPr>
          <w:rFonts w:hint="eastAsia"/>
          <w:lang w:eastAsia="zh-CN"/>
        </w:rPr>
      </w:pPr>
      <w:r>
        <w:t>2022年预算收支安排572.10万元，较2021年预算增加467.15万元，其中：基本支出增加104.95万元，主要是增加一个预算单位</w:t>
      </w:r>
      <w:r>
        <w:rPr>
          <w:rFonts w:hint="eastAsia"/>
          <w:lang w:eastAsia="zh-CN"/>
        </w:rPr>
        <w:t>，</w:t>
      </w:r>
      <w:r>
        <w:t>增加人员经费和日常经费支出；项目支出</w:t>
      </w:r>
      <w:r>
        <w:rPr>
          <w:rFonts w:hint="eastAsia"/>
          <w:lang w:eastAsia="zh-CN"/>
        </w:rPr>
        <w:t>无变化</w:t>
      </w:r>
      <w: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rPr>
          <w:rFonts w:hint="eastAsia"/>
          <w:lang w:eastAsia="zh-CN"/>
        </w:rPr>
      </w:pPr>
      <w:r>
        <w:t>2022年，我部门运行经费共计安排52.87万元，主要用于日常维修、办公等日常运行支出。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2022年，我部门财政拨款“三公”经费预算安排16.20万元，其中因公出国（境）费10.50万元；公务用车购置及运维费2.70万元（其中：公务用车购置费为0万元，公务用车运维费2.70万元)；公务接待费3.00万元。与2021年相比减少0.50万元，减少的主要原因是：根据实际情况减少因公</w:t>
      </w:r>
      <w:r>
        <w:rPr>
          <w:rFonts w:hint="eastAsia"/>
          <w:lang w:eastAsia="zh-CN"/>
        </w:rPr>
        <w:t>出国（境）</w:t>
      </w:r>
      <w:r>
        <w:t>费预算。</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spacing w:line="500" w:lineRule="exact"/>
        <w:ind w:firstLine="560"/>
      </w:pPr>
      <w:r>
        <w:rPr>
          <w:rFonts w:eastAsia="方正仿宋_GBK"/>
          <w:color w:val="000000"/>
          <w:sz w:val="28"/>
        </w:rPr>
        <w:t>（一）总体绩效目标</w:t>
      </w:r>
    </w:p>
    <w:p>
      <w:pPr>
        <w:pStyle w:val="21"/>
      </w:pPr>
      <w:r>
        <w:t>在市委、市政府坚强领导和省外办具体指导下，我市外事工作坚持以习近平外交思想为指导，全面贯彻落实中央、省委九届第十二次全会和市第十二次党代会精神，围绕“激情奋进‘十四五’、再造一个新保定”的奋斗目标，始终秉承服务国家总体外交、服务经济社会发展、服务基层和企业“三个原则”，发挥外事资源优势，聚焦助力全市主导产业发展、推进全方位国际交流合作、守牢涉外安全底线“三个方向”，为现代化品质生活之城建设贡献外事力量，较好实现年初确定的主要任务目标。</w:t>
      </w:r>
    </w:p>
    <w:p>
      <w:pPr>
        <w:pStyle w:val="21"/>
      </w:pPr>
    </w:p>
    <w:p>
      <w:pPr>
        <w:pStyle w:val="21"/>
      </w:pPr>
    </w:p>
    <w:p>
      <w:pPr>
        <w:spacing w:line="500" w:lineRule="exact"/>
        <w:ind w:firstLine="560"/>
      </w:pPr>
      <w:r>
        <w:rPr>
          <w:rFonts w:eastAsia="方正仿宋_GBK"/>
          <w:color w:val="000000"/>
          <w:sz w:val="28"/>
        </w:rPr>
        <w:t>（二）分项绩效目标</w:t>
      </w:r>
    </w:p>
    <w:p>
      <w:pPr>
        <w:pStyle w:val="22"/>
      </w:pPr>
      <w:r>
        <w:t>（一）坚守服务经济社会发展之初心，担服务我市主导产业为目标之使命，开创我市对外开放工作之新局。</w:t>
      </w:r>
    </w:p>
    <w:p>
      <w:pPr>
        <w:pStyle w:val="22"/>
      </w:pPr>
      <w:r>
        <w:t>绩效目标：外事办作为统筹全市外事活动的归口管理部门，首先要整合优质外事资源，积极服务我市“医车电数游”等主导产业和国际医疗基地、教育创新发展等重大专项工作；其次要发挥外事工作信息灵、渠道广、联系多的优势和特点，密切联系国家部委、省直部门以及有关国际组织，梳理分析国外友城和友好合作关系资源，为市委、市政府和有关部门决策提供参考；再次要围绕我市主导产业和重大专项工作搭建交流平台，充分利用国际友城交往、友协海外理事、海外爱国华人社团、企业家、驻华使领馆大使或经济、文化参赞等访问我市，与市领导和有关部门领导座谈交流，不断扩大我市对外开放水平。</w:t>
      </w:r>
    </w:p>
    <w:p>
      <w:pPr>
        <w:pStyle w:val="22"/>
      </w:pPr>
      <w:r>
        <w:t>绩效指标：整合优质外事资源，积极服务我市“医车电数游”等主导产业；密切关注国外相关产业发展动向，收集前沿信息；引入国外产业、资金、人才、技术等资源服务我市主导产业发展。</w:t>
      </w:r>
    </w:p>
    <w:p>
      <w:pPr>
        <w:pStyle w:val="22"/>
      </w:pPr>
      <w:r>
        <w:t>（二）不断加强与驻保高校和外向型企业的对接合作。</w:t>
      </w:r>
    </w:p>
    <w:p>
      <w:pPr>
        <w:pStyle w:val="22"/>
      </w:pPr>
      <w:r>
        <w:t>绩效目标：一是在今后的国际交流工作中，市外办将与驻保高校建立健全合作与交流机制，夯实合作平台，深入开展“我为群众办实事，外事工作进校园”系列校地交流活动，为驻保高校的人才培养，重点是外语类专业人才的培养提供实习锻炼平台，针对我市外事工作形势与需求与高校共同探讨应用型外语外事人才培养方向，推进外事与高校的深度融合与全面持久合作。二是2021年市我处立足保定大开放、大发展，在全力做好境外疫情防控工作同时，真正把“外事为民”举措精准高效落到企业，为建设品质生活之城提供外事保障。通过2021年系列调研活动，在工作中我办将以“有效整合外事资源、精准提升服务效能”为问题导向的有力抓手，针对企业具体需求，切实为企业提供便捷高效服务，营造良好营商环境，践行外事工作者的初心使命，发挥外事职能优势，为新形势下全市经济社会发展提供优质外事服务。</w:t>
      </w:r>
    </w:p>
    <w:p>
      <w:pPr>
        <w:pStyle w:val="22"/>
      </w:pPr>
      <w:r>
        <w:t>绩效指标：为学生走进社会、走进企业搭建实践平台，实现高校人才培养与当前社会需求的精准对接，共同打造外事人才产教融合新路径与、新亮点与创新举措，推进外事与高校的深度融合与全面持久合作；通过“外事服务进企业”系列活动，为全市外向型企业利用外事资源发展国际业务提供新思路和新办法，助推全市企业加快“走出去”步伐，深度融入“一带一路”建设，发挥外事资源优势，精准服务企业发展；通过网上平台、新媒体宣传、“一对一”服务等线上线下多种形式开展精准政策指导和业务办理。</w:t>
      </w:r>
    </w:p>
    <w:p>
      <w:pPr>
        <w:spacing w:line="500" w:lineRule="exact"/>
        <w:ind w:firstLine="560"/>
      </w:pPr>
      <w:r>
        <w:rPr>
          <w:rFonts w:eastAsia="方正仿宋_GBK"/>
          <w:color w:val="000000"/>
          <w:sz w:val="28"/>
        </w:rPr>
        <w:t>（三）工作保障措施</w:t>
      </w:r>
    </w:p>
    <w:p>
      <w:pPr>
        <w:pStyle w:val="23"/>
      </w:pPr>
      <w:r>
        <w:t>（一）规范执行因公出国境审核审批政策，进一步提升因公出访成果统计的精细化、规范化和科学化水平和APEC商务旅行卡宣传力度。以保定市外贸发展态势较好的县市区为起点，每季度组织举办一次APEC商务旅行卡定点专场推介活动。组织企业积极参加“全省外贸政策业务联合培训会”。赴部分重点企业进行走访调研，就APEC商务旅行卡申办进行现场宣介及政策解读。印制《保定市APEC商务旅行卡申办管理实施细则》手册，向企业免费发放。借助广播、报刊、新媒体等渠道，扩大APEC商务旅行卡知悉面，进一步激发保定市企业的办卡潜力。同时加强对办卡企业建档管理，引导企业规范用卡，用好这份独特的外事资源，努力开创APEC商务旅行卡助力我市经济社会发展的新局面。会同宣传部、网信办等多家部门联合开展“留学生眼中的保定”等系列报道，采用英语、俄语、韩语等多语言介绍保定，多角度、全方位展现保定市改革开放40年来变化、脱贫攻坚成果，利用外事平台讲好保定故事，为现代化品质之城贡献力量。</w:t>
      </w:r>
    </w:p>
    <w:p>
      <w:pPr>
        <w:pStyle w:val="23"/>
      </w:pPr>
      <w:r>
        <w:t>（二）进一步强化涉外管理，认真做好涉外处突和海外领保工作。一是认真执行</w:t>
      </w:r>
      <w:bookmarkStart w:id="18" w:name="_GoBack"/>
      <w:bookmarkEnd w:id="18"/>
      <w:r>
        <w:rPr>
          <w:rFonts w:hint="eastAsia"/>
          <w:lang w:eastAsia="zh-CN"/>
        </w:rPr>
        <w:t>《中华人民共和国出境入境管理法》</w:t>
      </w:r>
      <w:r>
        <w:t>、《外国人入境出境管理条例》和邀请外国人来华管理的有关规定，做好邀请外国人来保的相关审批工作，做到既加强管理又服务周到。二是认真贯彻落实《外国常驻新闻机构和外国记者采访条例》，坚持“善待、善管、善用”外国记者，针对外国记者采访突发事件或热点敏感问题，从速低调妥善处理，保持外国记者来保采访稳定。三是进一步加大对海外领保常识的宣传力度，切实提高我市境外企业、机构和人员的安全防范意识和应急处置能力，全力保障我市在境外企业和人员的合法权益及生命安全。四是积极配合相关部门做好我市反恐、反邪教和地方维稳工作。</w:t>
      </w:r>
    </w:p>
    <w:p>
      <w:pPr>
        <w:pStyle w:val="23"/>
      </w:pPr>
      <w:r>
        <w:t>（三）深化党史学习教育成果，确保党史学习教育第二阶段之“四史”宣传教育工作扎实有序进行，积极服务基层和企业发展。建立后疫情时代合作机制，积极为企业正常经营开拓外事服务渠道，发挥外交部“快捷通道”作用，有序安排企业、学校急需外籍人员来保。将APEC商务旅行卡申办审核和宣传推介工作作为“我为群众办实事”的一项举措，从被动式服务转为主动作为，积极推广实施办卡工作。继续做好领事保护，同时为涉外企业如何预防、化解涉外风险做好讲解、培训工作，将企业涉外安全风险将至最低，跟踪服务企业在外安全。继续筹办“外事工作进基层”活动，纾解外事工作在基层、在企业开展过程中遇到的难点。针对外交部与我市高阳、曲阳两县建立长期支持合作关系，积极做好上下衔接和协调服务工作，为巩固拓展脱贫攻坚成果、实现乡村振兴做好服务保障。</w:t>
      </w:r>
    </w:p>
    <w:p>
      <w:pPr>
        <w:pStyle w:val="23"/>
      </w:pPr>
      <w:r>
        <w:t>（四）研究红色精品线路，开展红色主题外宣，讲好保定故事，展示发展成果。组织协调好重要的国际活动，拓展对外宣传的渠道，提高传播能力建设，树立和维护保定国际交流的新形象。用好我市文旅资源以及红色教育基地、扶贫展示基地资源，开展红色主题外宣和扶贫成果展示。打造外事精品线路，讲好保定故事，展示发展成果，提高我市国际知名度、美誉度。一是与市委宣传部、网信办、唐尧新媒体合作，推出一批“外籍专家看保定”、“留学生看保定”、“外国媒体看保定”等系列活动。二是与工商联合作，助力和打造一批外向型企业，整合海归联合会资源，建立创业创新平台，引领外向型经济发展，助力乡村振兴。三是在上级部门的支持下，向国际友好城市派遣国际交流员，交流员要带着任务推动经济、文化、科技、中医药等产业多方面交流合作。四是借助外交部与高阳县、曲阳县的长期支持合作关系，与教育部门联合推动职业教育的国际化合作。</w:t>
      </w:r>
    </w:p>
    <w:p>
      <w:pPr>
        <w:pStyle w:val="23"/>
      </w:pPr>
      <w:r>
        <w:t>（五）强化政治担当，持续抓好常态化下涉外疫情防控。</w:t>
      </w:r>
    </w:p>
    <w:p>
      <w:pPr>
        <w:pStyle w:val="23"/>
        <w:rPr>
          <w:rFonts w:hint="eastAsia"/>
          <w:lang w:eastAsia="zh-CN"/>
        </w:rPr>
      </w:pPr>
      <w:r>
        <w:t>地上的哨兵。在境外疫情防控工作常态化下，在持续做好全市境外疫情在今后的工作中把境外疫情防控当作“常态化+持久战”的政治任务，不间断地科学精准摸排信息底数，优化闭环管理流程，严格做好各项外事管理，始终科学精准施策，当好全市疫情防控和复工复产工作最前沿阵，防控工作、守住风险底线的同时，将积极谋划不断创新优化各项防控管理措施，创新开展各项国际交流和外事活动。首先是采用先进IT技术和云数据等手段，不断优化境外疫情防控工作的信息推送和网格化管理，其次是在国际间人员往来、航班交通未恢复正常的非常时期，积极采用云视频等远程可视化技术，不断推进我市与国外地方政府、友好组织、科研院校、工商企业、友好人士等机构和单位、个人的友好交流与合作，同时积极探讨利用先进的远程互联手段，做好疫情期间对全市在外人员和来保外籍人员的人文关怀、心理疏导、服务帮扶和舆论引领工作。</w:t>
      </w:r>
    </w:p>
    <w:p>
      <w:pPr>
        <w:ind w:firstLine="640"/>
        <w:rPr>
          <w:rFonts w:hint="eastAsia"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1、外事专项工作经费绩效目标表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1.保障好市级领导出访任务</w:t>
            </w:r>
          </w:p>
          <w:p>
            <w:pPr>
              <w:pStyle w:val="12"/>
            </w:pPr>
            <w:r>
              <w:t>2. 保障好外宾来访接待工作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 xml:space="preserve"> 成本控制率</w:t>
            </w:r>
          </w:p>
        </w:tc>
        <w:tc>
          <w:tcPr>
            <w:tcW w:w="2835" w:type="dxa"/>
            <w:vAlign w:val="center"/>
          </w:tcPr>
          <w:p>
            <w:pPr>
              <w:pStyle w:val="12"/>
            </w:pPr>
            <w:r>
              <w:t xml:space="preserve"> 成本控制率</w:t>
            </w:r>
          </w:p>
        </w:tc>
        <w:tc>
          <w:tcPr>
            <w:tcW w:w="2551" w:type="dxa"/>
            <w:vAlign w:val="center"/>
          </w:tcPr>
          <w:p>
            <w:pPr>
              <w:pStyle w:val="12"/>
            </w:pPr>
            <w:r>
              <w:t>≤100%</w:t>
            </w:r>
          </w:p>
        </w:tc>
        <w:tc>
          <w:tcPr>
            <w:tcW w:w="2268" w:type="dxa"/>
            <w:vAlign w:val="center"/>
          </w:tcPr>
          <w:p>
            <w:pPr>
              <w:pStyle w:val="12"/>
            </w:pPr>
            <w:r>
              <w:t>年度工作计划（实际支出占预算支出比率小于等于100%）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组织因公出访活动批次数</w:t>
            </w:r>
          </w:p>
        </w:tc>
        <w:tc>
          <w:tcPr>
            <w:tcW w:w="2835" w:type="dxa"/>
            <w:vAlign w:val="center"/>
          </w:tcPr>
          <w:p>
            <w:pPr>
              <w:pStyle w:val="12"/>
            </w:pPr>
            <w:r>
              <w:t>组织因公出访活动批次数</w:t>
            </w:r>
          </w:p>
        </w:tc>
        <w:tc>
          <w:tcPr>
            <w:tcW w:w="2551" w:type="dxa"/>
            <w:vAlign w:val="center"/>
          </w:tcPr>
          <w:p>
            <w:pPr>
              <w:pStyle w:val="12"/>
            </w:pPr>
            <w:r>
              <w:t>≥2次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出访调研报告份数</w:t>
            </w:r>
          </w:p>
        </w:tc>
        <w:tc>
          <w:tcPr>
            <w:tcW w:w="2835" w:type="dxa"/>
            <w:vAlign w:val="center"/>
          </w:tcPr>
          <w:p>
            <w:pPr>
              <w:pStyle w:val="12"/>
            </w:pPr>
            <w:r>
              <w:t>调研报告完成率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完成接待来访、出访及组织相关交</w:t>
            </w:r>
          </w:p>
        </w:tc>
        <w:tc>
          <w:tcPr>
            <w:tcW w:w="2835" w:type="dxa"/>
            <w:vAlign w:val="center"/>
          </w:tcPr>
          <w:p>
            <w:pPr>
              <w:pStyle w:val="12"/>
            </w:pPr>
            <w:r>
              <w:t>接待来访、出访及组织相关交流活动的及时率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受支持合作社服务带动能力</w:t>
            </w:r>
          </w:p>
        </w:tc>
        <w:tc>
          <w:tcPr>
            <w:tcW w:w="2835" w:type="dxa"/>
            <w:vAlign w:val="center"/>
          </w:tcPr>
          <w:p>
            <w:pPr>
              <w:pStyle w:val="12"/>
            </w:pPr>
            <w:r>
              <w:t>提高外事交往能力</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领导及外宾满意度</w:t>
            </w:r>
          </w:p>
        </w:tc>
        <w:tc>
          <w:tcPr>
            <w:tcW w:w="2551" w:type="dxa"/>
            <w:vAlign w:val="center"/>
          </w:tcPr>
          <w:p>
            <w:pPr>
              <w:pStyle w:val="12"/>
            </w:pPr>
            <w:r>
              <w:t>≥95%</w:t>
            </w:r>
          </w:p>
        </w:tc>
        <w:tc>
          <w:tcPr>
            <w:tcW w:w="2268" w:type="dxa"/>
            <w:vAlign w:val="center"/>
          </w:tcPr>
          <w:p>
            <w:pPr>
              <w:pStyle w:val="12"/>
            </w:pPr>
            <w:r>
              <w:t>问卷调查</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2、外事服务经费绩效目标表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1.代办因公出国（境）手续，为开展对外交流与合作提供服务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质量指标</w:t>
            </w:r>
          </w:p>
        </w:tc>
        <w:tc>
          <w:tcPr>
            <w:tcW w:w="2835" w:type="dxa"/>
            <w:vAlign w:val="center"/>
          </w:tcPr>
          <w:p>
            <w:pPr>
              <w:pStyle w:val="12"/>
            </w:pPr>
            <w:r>
              <w:t>业务工作完成率（%）</w:t>
            </w:r>
          </w:p>
        </w:tc>
        <w:tc>
          <w:tcPr>
            <w:tcW w:w="2835" w:type="dxa"/>
            <w:vAlign w:val="center"/>
          </w:tcPr>
          <w:p>
            <w:pPr>
              <w:pStyle w:val="12"/>
            </w:pPr>
            <w:r>
              <w:t>办理因公出国（境）手续完成率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因公出国（境）团组办结率</w:t>
            </w:r>
          </w:p>
        </w:tc>
        <w:tc>
          <w:tcPr>
            <w:tcW w:w="2835" w:type="dxa"/>
            <w:vAlign w:val="center"/>
          </w:tcPr>
          <w:p>
            <w:pPr>
              <w:pStyle w:val="12"/>
            </w:pPr>
            <w:r>
              <w:t>因公出国（境）工作人员</w:t>
            </w:r>
          </w:p>
        </w:tc>
        <w:tc>
          <w:tcPr>
            <w:tcW w:w="2551" w:type="dxa"/>
            <w:vAlign w:val="center"/>
          </w:tcPr>
          <w:p>
            <w:pPr>
              <w:pStyle w:val="12"/>
            </w:pPr>
            <w:r>
              <w:t>≥6人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成本控制率</w:t>
            </w:r>
          </w:p>
        </w:tc>
        <w:tc>
          <w:tcPr>
            <w:tcW w:w="2835" w:type="dxa"/>
            <w:vAlign w:val="center"/>
          </w:tcPr>
          <w:p>
            <w:pPr>
              <w:pStyle w:val="12"/>
            </w:pPr>
            <w:r>
              <w:t xml:space="preserve"> 成本控制率</w:t>
            </w:r>
          </w:p>
        </w:tc>
        <w:tc>
          <w:tcPr>
            <w:tcW w:w="2551" w:type="dxa"/>
            <w:vAlign w:val="center"/>
          </w:tcPr>
          <w:p>
            <w:pPr>
              <w:pStyle w:val="12"/>
            </w:pPr>
            <w:r>
              <w:t>≤100%</w:t>
            </w:r>
          </w:p>
        </w:tc>
        <w:tc>
          <w:tcPr>
            <w:tcW w:w="2268" w:type="dxa"/>
            <w:vAlign w:val="center"/>
          </w:tcPr>
          <w:p>
            <w:pPr>
              <w:pStyle w:val="12"/>
            </w:pPr>
            <w:r>
              <w:t>实际支出占预算支出比率小于等于100%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因公出国（境）团组办结率</w:t>
            </w:r>
          </w:p>
        </w:tc>
        <w:tc>
          <w:tcPr>
            <w:tcW w:w="2835" w:type="dxa"/>
            <w:vAlign w:val="center"/>
          </w:tcPr>
          <w:p>
            <w:pPr>
              <w:pStyle w:val="12"/>
            </w:pPr>
            <w:r>
              <w:t>因公出国（境）团组及时办结率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因公出国（境）团组办结率</w:t>
            </w:r>
          </w:p>
        </w:tc>
        <w:tc>
          <w:tcPr>
            <w:tcW w:w="2835" w:type="dxa"/>
            <w:vAlign w:val="center"/>
          </w:tcPr>
          <w:p>
            <w:pPr>
              <w:pStyle w:val="12"/>
            </w:pPr>
            <w:r>
              <w:t>提升办理出国（境）手续工作人员专业能力</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客户满意度</w:t>
            </w:r>
          </w:p>
        </w:tc>
        <w:tc>
          <w:tcPr>
            <w:tcW w:w="2835" w:type="dxa"/>
            <w:vAlign w:val="center"/>
          </w:tcPr>
          <w:p>
            <w:pPr>
              <w:pStyle w:val="12"/>
            </w:pPr>
            <w:r>
              <w:t>需因公出国人员满意度</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2022年，保定市人民政府外事办公室安排政府采购预算</w:t>
      </w:r>
      <w:r>
        <w:rPr>
          <w:rFonts w:hint="eastAsia" w:eastAsia="方正仿宋_GBK"/>
          <w:color w:val="000000"/>
          <w:sz w:val="28"/>
          <w:lang w:eastAsia="zh-CN"/>
        </w:rPr>
        <w:t>8.15</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438保定市人民政府外事办公室</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lang w:eastAsia="zh-CN"/>
              </w:rPr>
            </w:pPr>
            <w:r>
              <w:rPr>
                <w:rFonts w:hint="eastAsia"/>
                <w:lang w:eastAsia="zh-CN"/>
              </w:rPr>
              <w:t>合计</w:t>
            </w:r>
          </w:p>
        </w:tc>
        <w:tc>
          <w:tcPr>
            <w:tcW w:w="964" w:type="dxa"/>
            <w:vAlign w:val="center"/>
          </w:tcPr>
          <w:p>
            <w:pPr>
              <w:pStyle w:val="11"/>
              <w:rPr>
                <w:rFonts w:hint="eastAsia"/>
                <w:lang w:eastAsia="zh-CN"/>
              </w:rPr>
            </w:pPr>
          </w:p>
        </w:tc>
        <w:tc>
          <w:tcPr>
            <w:tcW w:w="1134" w:type="dxa"/>
            <w:vAlign w:val="center"/>
          </w:tcPr>
          <w:p>
            <w:pPr>
              <w:pStyle w:val="12"/>
              <w:rPr>
                <w:rFonts w:hint="eastAsia"/>
                <w:lang w:eastAsia="zh-CN"/>
              </w:rPr>
            </w:pPr>
          </w:p>
        </w:tc>
        <w:tc>
          <w:tcPr>
            <w:tcW w:w="1134" w:type="dxa"/>
            <w:vAlign w:val="center"/>
          </w:tcPr>
          <w:p>
            <w:pPr>
              <w:pStyle w:val="12"/>
              <w:rPr>
                <w:rFonts w:hint="eastAsia"/>
                <w:lang w:eastAsia="zh-CN"/>
              </w:rPr>
            </w:pPr>
          </w:p>
        </w:tc>
        <w:tc>
          <w:tcPr>
            <w:tcW w:w="709" w:type="dxa"/>
            <w:vAlign w:val="center"/>
          </w:tcPr>
          <w:p>
            <w:pPr>
              <w:pStyle w:val="13"/>
              <w:rPr>
                <w:rFonts w:hint="eastAsia"/>
                <w:lang w:eastAsia="zh-CN"/>
              </w:rPr>
            </w:pPr>
          </w:p>
        </w:tc>
        <w:tc>
          <w:tcPr>
            <w:tcW w:w="850" w:type="dxa"/>
            <w:vAlign w:val="center"/>
          </w:tcPr>
          <w:p>
            <w:pPr>
              <w:pStyle w:val="11"/>
              <w:rPr>
                <w:rFonts w:hint="eastAsia"/>
                <w:lang w:eastAsia="zh-CN"/>
              </w:rPr>
            </w:pPr>
          </w:p>
        </w:tc>
        <w:tc>
          <w:tcPr>
            <w:tcW w:w="850" w:type="dxa"/>
            <w:vAlign w:val="center"/>
          </w:tcPr>
          <w:p>
            <w:pPr>
              <w:pStyle w:val="11"/>
              <w:rPr>
                <w:rFonts w:hint="eastAsia"/>
                <w:lang w:eastAsia="zh-CN"/>
              </w:rPr>
            </w:pPr>
          </w:p>
        </w:tc>
        <w:tc>
          <w:tcPr>
            <w:tcW w:w="964" w:type="dxa"/>
            <w:vAlign w:val="center"/>
          </w:tcPr>
          <w:p>
            <w:pPr>
              <w:pStyle w:val="11"/>
              <w:rPr>
                <w:rFonts w:hint="eastAsia"/>
                <w:sz w:val="15"/>
                <w:szCs w:val="15"/>
                <w:lang w:eastAsia="zh-CN"/>
              </w:rPr>
            </w:pPr>
            <w:r>
              <w:rPr>
                <w:rFonts w:hint="eastAsia"/>
                <w:sz w:val="15"/>
                <w:szCs w:val="15"/>
                <w:lang w:eastAsia="zh-CN"/>
              </w:rPr>
              <w:t>8.15</w:t>
            </w:r>
          </w:p>
        </w:tc>
        <w:tc>
          <w:tcPr>
            <w:tcW w:w="964" w:type="dxa"/>
            <w:vAlign w:val="center"/>
          </w:tcPr>
          <w:p>
            <w:pPr>
              <w:pStyle w:val="11"/>
              <w:rPr>
                <w:rFonts w:hint="eastAsia"/>
                <w:sz w:val="15"/>
                <w:szCs w:val="15"/>
                <w:lang w:eastAsia="zh-CN"/>
              </w:rPr>
            </w:pPr>
            <w:r>
              <w:rPr>
                <w:rFonts w:hint="eastAsia"/>
                <w:sz w:val="15"/>
                <w:szCs w:val="15"/>
                <w:lang w:eastAsia="zh-CN"/>
              </w:rPr>
              <w:t>8.15</w:t>
            </w:r>
          </w:p>
        </w:tc>
        <w:tc>
          <w:tcPr>
            <w:tcW w:w="964" w:type="dxa"/>
            <w:vAlign w:val="center"/>
          </w:tcPr>
          <w:p>
            <w:pPr>
              <w:pStyle w:val="11"/>
              <w:rPr>
                <w:sz w:val="15"/>
                <w:szCs w:val="15"/>
              </w:rPr>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sz w:val="18"/>
                <w:szCs w:val="18"/>
              </w:rPr>
            </w:pPr>
            <w:r>
              <w:rPr>
                <w:rFonts w:ascii="方正仿宋_GBK" w:hAnsi="方正仿宋_GBK" w:eastAsia="方正仿宋_GBK" w:cs="方正仿宋_GBK"/>
                <w:color w:val="000000"/>
                <w:sz w:val="18"/>
                <w:szCs w:val="18"/>
              </w:rPr>
              <w:t>外事专项工作经费</w:t>
            </w:r>
          </w:p>
        </w:tc>
        <w:tc>
          <w:tcPr>
            <w:tcW w:w="964" w:type="dxa"/>
            <w:vAlign w:val="center"/>
          </w:tcPr>
          <w:p>
            <w:pPr>
              <w:pStyle w:val="11"/>
              <w:rPr>
                <w:rFonts w:hint="eastAsia"/>
                <w:sz w:val="15"/>
                <w:szCs w:val="15"/>
                <w:lang w:eastAsia="zh-CN"/>
              </w:rPr>
            </w:pPr>
            <w:r>
              <w:rPr>
                <w:rFonts w:hint="eastAsia"/>
                <w:sz w:val="15"/>
                <w:szCs w:val="15"/>
                <w:lang w:eastAsia="zh-CN"/>
              </w:rPr>
              <w:t>30</w:t>
            </w:r>
          </w:p>
        </w:tc>
        <w:tc>
          <w:tcPr>
            <w:tcW w:w="1134" w:type="dxa"/>
            <w:vAlign w:val="center"/>
          </w:tcPr>
          <w:p>
            <w:pPr>
              <w:pStyle w:val="12"/>
              <w:rPr>
                <w:rFonts w:hint="eastAsia"/>
                <w:sz w:val="15"/>
                <w:szCs w:val="15"/>
                <w:lang w:eastAsia="zh-CN"/>
              </w:rPr>
            </w:pPr>
            <w:r>
              <w:rPr>
                <w:rFonts w:hint="eastAsia"/>
                <w:sz w:val="15"/>
                <w:szCs w:val="15"/>
                <w:lang w:eastAsia="zh-CN"/>
              </w:rPr>
              <w:t>台式电脑</w:t>
            </w:r>
          </w:p>
        </w:tc>
        <w:tc>
          <w:tcPr>
            <w:tcW w:w="1134" w:type="dxa"/>
            <w:vAlign w:val="center"/>
          </w:tcPr>
          <w:p>
            <w:pPr>
              <w:pStyle w:val="12"/>
              <w:rPr>
                <w:rFonts w:hint="eastAsia"/>
                <w:sz w:val="15"/>
                <w:szCs w:val="15"/>
                <w:lang w:eastAsia="zh-CN"/>
              </w:rPr>
            </w:pPr>
            <w:r>
              <w:rPr>
                <w:rFonts w:hint="eastAsia"/>
                <w:sz w:val="15"/>
                <w:szCs w:val="15"/>
                <w:lang w:eastAsia="zh-CN"/>
              </w:rPr>
              <w:t>A02010104</w:t>
            </w:r>
          </w:p>
        </w:tc>
        <w:tc>
          <w:tcPr>
            <w:tcW w:w="709" w:type="dxa"/>
            <w:vAlign w:val="center"/>
          </w:tcPr>
          <w:p>
            <w:pPr>
              <w:pStyle w:val="12"/>
              <w:rPr>
                <w:rFonts w:hint="eastAsia"/>
                <w:sz w:val="15"/>
                <w:szCs w:val="15"/>
                <w:lang w:eastAsia="zh-CN"/>
              </w:rPr>
            </w:pPr>
            <w:r>
              <w:rPr>
                <w:rFonts w:hint="eastAsia"/>
                <w:sz w:val="15"/>
                <w:szCs w:val="15"/>
                <w:lang w:eastAsia="zh-CN"/>
              </w:rPr>
              <w:t>台</w:t>
            </w:r>
          </w:p>
        </w:tc>
        <w:tc>
          <w:tcPr>
            <w:tcW w:w="850" w:type="dxa"/>
            <w:vAlign w:val="center"/>
          </w:tcPr>
          <w:p>
            <w:pPr>
              <w:pStyle w:val="12"/>
              <w:rPr>
                <w:rFonts w:hint="eastAsia"/>
                <w:sz w:val="15"/>
                <w:szCs w:val="15"/>
                <w:lang w:eastAsia="zh-CN"/>
              </w:rPr>
            </w:pPr>
            <w:r>
              <w:rPr>
                <w:rFonts w:hint="eastAsia"/>
                <w:sz w:val="15"/>
                <w:szCs w:val="15"/>
                <w:lang w:eastAsia="zh-CN"/>
              </w:rPr>
              <w:t>5</w:t>
            </w:r>
          </w:p>
        </w:tc>
        <w:tc>
          <w:tcPr>
            <w:tcW w:w="850" w:type="dxa"/>
            <w:vAlign w:val="center"/>
          </w:tcPr>
          <w:p>
            <w:pPr>
              <w:pStyle w:val="12"/>
              <w:rPr>
                <w:rFonts w:hint="eastAsia"/>
                <w:sz w:val="15"/>
                <w:szCs w:val="15"/>
                <w:lang w:eastAsia="zh-CN"/>
              </w:rPr>
            </w:pPr>
            <w:r>
              <w:rPr>
                <w:rFonts w:hint="eastAsia"/>
                <w:sz w:val="15"/>
                <w:szCs w:val="15"/>
                <w:lang w:eastAsia="zh-CN"/>
              </w:rPr>
              <w:t>0.65</w:t>
            </w:r>
          </w:p>
        </w:tc>
        <w:tc>
          <w:tcPr>
            <w:tcW w:w="964" w:type="dxa"/>
            <w:vAlign w:val="center"/>
          </w:tcPr>
          <w:p>
            <w:pPr>
              <w:pStyle w:val="12"/>
              <w:rPr>
                <w:rFonts w:hint="eastAsia"/>
                <w:sz w:val="15"/>
                <w:szCs w:val="15"/>
                <w:lang w:eastAsia="zh-CN"/>
              </w:rPr>
            </w:pPr>
            <w:r>
              <w:rPr>
                <w:rFonts w:hint="eastAsia"/>
                <w:sz w:val="15"/>
                <w:szCs w:val="15"/>
                <w:lang w:eastAsia="zh-CN"/>
              </w:rPr>
              <w:t>3.25</w:t>
            </w:r>
          </w:p>
        </w:tc>
        <w:tc>
          <w:tcPr>
            <w:tcW w:w="964" w:type="dxa"/>
            <w:vAlign w:val="center"/>
          </w:tcPr>
          <w:p>
            <w:pPr>
              <w:pStyle w:val="12"/>
              <w:rPr>
                <w:rFonts w:hint="eastAsia"/>
                <w:sz w:val="15"/>
                <w:szCs w:val="15"/>
                <w:lang w:eastAsia="zh-CN"/>
              </w:rPr>
            </w:pPr>
            <w:r>
              <w:rPr>
                <w:rFonts w:hint="eastAsia"/>
                <w:sz w:val="15"/>
                <w:szCs w:val="15"/>
                <w:lang w:eastAsia="zh-CN"/>
              </w:rPr>
              <w:t>3.25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sz w:val="18"/>
                <w:szCs w:val="18"/>
              </w:rPr>
            </w:pPr>
            <w:r>
              <w:rPr>
                <w:rFonts w:ascii="方正仿宋_GBK" w:hAnsi="方正仿宋_GBK" w:eastAsia="方正仿宋_GBK" w:cs="方正仿宋_GBK"/>
                <w:color w:val="000000"/>
                <w:sz w:val="18"/>
                <w:szCs w:val="18"/>
              </w:rPr>
              <w:t>外事专项工作经费</w:t>
            </w:r>
          </w:p>
        </w:tc>
        <w:tc>
          <w:tcPr>
            <w:tcW w:w="964" w:type="dxa"/>
            <w:vAlign w:val="center"/>
          </w:tcPr>
          <w:p>
            <w:pPr>
              <w:pStyle w:val="11"/>
              <w:rPr>
                <w:rFonts w:hint="eastAsia"/>
                <w:sz w:val="15"/>
                <w:szCs w:val="15"/>
                <w:lang w:eastAsia="zh-CN"/>
              </w:rPr>
            </w:pPr>
            <w:r>
              <w:rPr>
                <w:rFonts w:hint="eastAsia"/>
                <w:sz w:val="15"/>
                <w:szCs w:val="15"/>
                <w:lang w:eastAsia="zh-CN"/>
              </w:rPr>
              <w:t>30</w:t>
            </w:r>
          </w:p>
        </w:tc>
        <w:tc>
          <w:tcPr>
            <w:tcW w:w="1134" w:type="dxa"/>
            <w:vAlign w:val="center"/>
          </w:tcPr>
          <w:p>
            <w:pPr>
              <w:pStyle w:val="12"/>
              <w:rPr>
                <w:rFonts w:hint="eastAsia"/>
                <w:sz w:val="15"/>
                <w:szCs w:val="15"/>
                <w:lang w:eastAsia="zh-CN"/>
              </w:rPr>
            </w:pPr>
            <w:r>
              <w:rPr>
                <w:rFonts w:hint="eastAsia"/>
                <w:sz w:val="15"/>
                <w:szCs w:val="15"/>
                <w:lang w:eastAsia="zh-CN"/>
              </w:rPr>
              <w:t>打印机</w:t>
            </w:r>
          </w:p>
        </w:tc>
        <w:tc>
          <w:tcPr>
            <w:tcW w:w="1134" w:type="dxa"/>
            <w:vAlign w:val="center"/>
          </w:tcPr>
          <w:p>
            <w:pPr>
              <w:pStyle w:val="12"/>
              <w:rPr>
                <w:rFonts w:hint="eastAsia"/>
                <w:sz w:val="15"/>
                <w:szCs w:val="15"/>
                <w:lang w:eastAsia="zh-CN"/>
              </w:rPr>
            </w:pPr>
            <w:r>
              <w:rPr>
                <w:rFonts w:hint="eastAsia"/>
                <w:sz w:val="15"/>
                <w:szCs w:val="15"/>
                <w:lang w:eastAsia="zh-CN"/>
              </w:rPr>
              <w:t>A020201</w:t>
            </w:r>
          </w:p>
        </w:tc>
        <w:tc>
          <w:tcPr>
            <w:tcW w:w="709" w:type="dxa"/>
            <w:vAlign w:val="center"/>
          </w:tcPr>
          <w:p>
            <w:pPr>
              <w:pStyle w:val="12"/>
              <w:rPr>
                <w:rFonts w:hint="eastAsia"/>
                <w:sz w:val="15"/>
                <w:szCs w:val="15"/>
                <w:lang w:eastAsia="zh-CN"/>
              </w:rPr>
            </w:pPr>
            <w:r>
              <w:rPr>
                <w:rFonts w:hint="eastAsia"/>
                <w:sz w:val="15"/>
                <w:szCs w:val="15"/>
                <w:lang w:eastAsia="zh-CN"/>
              </w:rPr>
              <w:t>台</w:t>
            </w:r>
          </w:p>
        </w:tc>
        <w:tc>
          <w:tcPr>
            <w:tcW w:w="850" w:type="dxa"/>
            <w:vAlign w:val="center"/>
          </w:tcPr>
          <w:p>
            <w:pPr>
              <w:pStyle w:val="12"/>
              <w:rPr>
                <w:rFonts w:hint="eastAsia"/>
                <w:sz w:val="15"/>
                <w:szCs w:val="15"/>
                <w:lang w:eastAsia="zh-CN"/>
              </w:rPr>
            </w:pPr>
            <w:r>
              <w:rPr>
                <w:rFonts w:hint="eastAsia"/>
                <w:sz w:val="15"/>
                <w:szCs w:val="15"/>
                <w:lang w:eastAsia="zh-CN"/>
              </w:rPr>
              <w:t>5</w:t>
            </w:r>
          </w:p>
        </w:tc>
        <w:tc>
          <w:tcPr>
            <w:tcW w:w="850" w:type="dxa"/>
            <w:vAlign w:val="center"/>
          </w:tcPr>
          <w:p>
            <w:pPr>
              <w:pStyle w:val="12"/>
              <w:rPr>
                <w:rFonts w:hint="eastAsia"/>
                <w:sz w:val="15"/>
                <w:szCs w:val="15"/>
                <w:lang w:eastAsia="zh-CN"/>
              </w:rPr>
            </w:pPr>
            <w:r>
              <w:rPr>
                <w:rFonts w:hint="eastAsia"/>
                <w:sz w:val="15"/>
                <w:szCs w:val="15"/>
                <w:lang w:eastAsia="zh-CN"/>
              </w:rPr>
              <w:t>0.45</w:t>
            </w:r>
          </w:p>
        </w:tc>
        <w:tc>
          <w:tcPr>
            <w:tcW w:w="964" w:type="dxa"/>
            <w:vAlign w:val="center"/>
          </w:tcPr>
          <w:p>
            <w:pPr>
              <w:pStyle w:val="12"/>
              <w:rPr>
                <w:rFonts w:hint="eastAsia"/>
                <w:sz w:val="15"/>
                <w:szCs w:val="15"/>
                <w:lang w:eastAsia="zh-CN"/>
              </w:rPr>
            </w:pPr>
            <w:r>
              <w:rPr>
                <w:rFonts w:hint="eastAsia"/>
                <w:sz w:val="15"/>
                <w:szCs w:val="15"/>
                <w:lang w:eastAsia="zh-CN"/>
              </w:rPr>
              <w:t>2.25</w:t>
            </w:r>
          </w:p>
        </w:tc>
        <w:tc>
          <w:tcPr>
            <w:tcW w:w="964" w:type="dxa"/>
            <w:vAlign w:val="center"/>
          </w:tcPr>
          <w:p>
            <w:pPr>
              <w:pStyle w:val="12"/>
              <w:rPr>
                <w:rFonts w:hint="eastAsia"/>
                <w:sz w:val="15"/>
                <w:szCs w:val="15"/>
                <w:lang w:eastAsia="zh-CN"/>
              </w:rPr>
            </w:pPr>
            <w:r>
              <w:rPr>
                <w:rFonts w:hint="eastAsia"/>
                <w:sz w:val="15"/>
                <w:szCs w:val="15"/>
                <w:lang w:eastAsia="zh-CN"/>
              </w:rPr>
              <w:t>2.25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rPr>
                <w:rFonts w:ascii="方正仿宋_GBK" w:hAnsi="方正仿宋_GBK" w:eastAsia="方正仿宋_GBK" w:cs="方正仿宋_GBK"/>
                <w:color w:val="000000"/>
                <w:sz w:val="18"/>
                <w:szCs w:val="18"/>
              </w:rPr>
              <w:t>外事专项工作经费</w:t>
            </w:r>
          </w:p>
        </w:tc>
        <w:tc>
          <w:tcPr>
            <w:tcW w:w="964" w:type="dxa"/>
            <w:vAlign w:val="center"/>
          </w:tcPr>
          <w:p>
            <w:pPr>
              <w:pStyle w:val="11"/>
              <w:rPr>
                <w:rFonts w:hint="eastAsia"/>
                <w:sz w:val="15"/>
                <w:szCs w:val="15"/>
                <w:lang w:eastAsia="zh-CN"/>
              </w:rPr>
            </w:pPr>
            <w:r>
              <w:rPr>
                <w:rFonts w:hint="eastAsia"/>
                <w:sz w:val="15"/>
                <w:szCs w:val="15"/>
                <w:lang w:eastAsia="zh-CN"/>
              </w:rPr>
              <w:t>30</w:t>
            </w:r>
          </w:p>
        </w:tc>
        <w:tc>
          <w:tcPr>
            <w:tcW w:w="1134" w:type="dxa"/>
            <w:vAlign w:val="center"/>
          </w:tcPr>
          <w:p>
            <w:pPr>
              <w:pStyle w:val="12"/>
              <w:rPr>
                <w:rFonts w:hint="eastAsia"/>
                <w:sz w:val="15"/>
                <w:szCs w:val="15"/>
                <w:lang w:eastAsia="zh-CN"/>
              </w:rPr>
            </w:pPr>
            <w:r>
              <w:rPr>
                <w:rFonts w:hint="eastAsia"/>
                <w:sz w:val="15"/>
                <w:szCs w:val="15"/>
                <w:lang w:eastAsia="zh-CN"/>
              </w:rPr>
              <w:t>空调</w:t>
            </w:r>
          </w:p>
        </w:tc>
        <w:tc>
          <w:tcPr>
            <w:tcW w:w="1134" w:type="dxa"/>
            <w:vAlign w:val="center"/>
          </w:tcPr>
          <w:p>
            <w:pPr>
              <w:pStyle w:val="12"/>
              <w:rPr>
                <w:rFonts w:hint="eastAsia"/>
                <w:sz w:val="15"/>
                <w:szCs w:val="15"/>
                <w:lang w:eastAsia="zh-CN"/>
              </w:rPr>
            </w:pPr>
            <w:r>
              <w:rPr>
                <w:rFonts w:hint="eastAsia"/>
                <w:sz w:val="15"/>
                <w:szCs w:val="15"/>
                <w:lang w:eastAsia="zh-CN"/>
              </w:rPr>
              <w:t>A02061802</w:t>
            </w:r>
          </w:p>
        </w:tc>
        <w:tc>
          <w:tcPr>
            <w:tcW w:w="709" w:type="dxa"/>
            <w:vAlign w:val="center"/>
          </w:tcPr>
          <w:p>
            <w:pPr>
              <w:pStyle w:val="12"/>
              <w:rPr>
                <w:rFonts w:hint="eastAsia"/>
                <w:sz w:val="15"/>
                <w:szCs w:val="15"/>
                <w:lang w:eastAsia="zh-CN"/>
              </w:rPr>
            </w:pPr>
            <w:r>
              <w:rPr>
                <w:rFonts w:hint="eastAsia"/>
                <w:sz w:val="15"/>
                <w:szCs w:val="15"/>
                <w:lang w:eastAsia="zh-CN"/>
              </w:rPr>
              <w:t>台</w:t>
            </w:r>
          </w:p>
        </w:tc>
        <w:tc>
          <w:tcPr>
            <w:tcW w:w="850" w:type="dxa"/>
            <w:vAlign w:val="center"/>
          </w:tcPr>
          <w:p>
            <w:pPr>
              <w:pStyle w:val="12"/>
              <w:rPr>
                <w:rFonts w:hint="eastAsia"/>
                <w:sz w:val="15"/>
                <w:szCs w:val="15"/>
                <w:lang w:eastAsia="zh-CN"/>
              </w:rPr>
            </w:pPr>
            <w:r>
              <w:rPr>
                <w:rFonts w:hint="eastAsia"/>
                <w:sz w:val="15"/>
                <w:szCs w:val="15"/>
                <w:lang w:eastAsia="zh-CN"/>
              </w:rPr>
              <w:t>1</w:t>
            </w:r>
          </w:p>
        </w:tc>
        <w:tc>
          <w:tcPr>
            <w:tcW w:w="850" w:type="dxa"/>
            <w:vAlign w:val="center"/>
          </w:tcPr>
          <w:p>
            <w:pPr>
              <w:pStyle w:val="12"/>
              <w:rPr>
                <w:rFonts w:hint="eastAsia"/>
                <w:sz w:val="15"/>
                <w:szCs w:val="15"/>
                <w:lang w:eastAsia="zh-CN"/>
              </w:rPr>
            </w:pPr>
            <w:r>
              <w:rPr>
                <w:rFonts w:hint="eastAsia"/>
                <w:sz w:val="15"/>
                <w:szCs w:val="15"/>
                <w:lang w:eastAsia="zh-CN"/>
              </w:rPr>
              <w:t>0.9</w:t>
            </w:r>
          </w:p>
        </w:tc>
        <w:tc>
          <w:tcPr>
            <w:tcW w:w="964" w:type="dxa"/>
            <w:vAlign w:val="center"/>
          </w:tcPr>
          <w:p>
            <w:pPr>
              <w:pStyle w:val="12"/>
              <w:rPr>
                <w:rFonts w:hint="eastAsia"/>
                <w:sz w:val="15"/>
                <w:szCs w:val="15"/>
                <w:lang w:eastAsia="zh-CN"/>
              </w:rPr>
            </w:pPr>
            <w:r>
              <w:rPr>
                <w:rFonts w:hint="eastAsia"/>
                <w:sz w:val="15"/>
                <w:szCs w:val="15"/>
                <w:lang w:eastAsia="zh-CN"/>
              </w:rPr>
              <w:t>0.9</w:t>
            </w:r>
          </w:p>
        </w:tc>
        <w:tc>
          <w:tcPr>
            <w:tcW w:w="964" w:type="dxa"/>
            <w:vAlign w:val="center"/>
          </w:tcPr>
          <w:p>
            <w:pPr>
              <w:pStyle w:val="12"/>
              <w:rPr>
                <w:rFonts w:hint="eastAsia"/>
                <w:sz w:val="15"/>
                <w:szCs w:val="15"/>
                <w:lang w:eastAsia="zh-CN"/>
              </w:rPr>
            </w:pPr>
            <w:r>
              <w:rPr>
                <w:rFonts w:hint="eastAsia"/>
                <w:sz w:val="15"/>
                <w:szCs w:val="15"/>
                <w:lang w:eastAsia="zh-CN"/>
              </w:rPr>
              <w:t>0.9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rPr>
                <w:rFonts w:ascii="方正仿宋_GBK" w:hAnsi="方正仿宋_GBK" w:eastAsia="方正仿宋_GBK" w:cs="方正仿宋_GBK"/>
                <w:color w:val="000000"/>
                <w:sz w:val="18"/>
                <w:szCs w:val="18"/>
              </w:rPr>
              <w:t>外事专项工作经费</w:t>
            </w:r>
          </w:p>
        </w:tc>
        <w:tc>
          <w:tcPr>
            <w:tcW w:w="964" w:type="dxa"/>
            <w:vAlign w:val="center"/>
          </w:tcPr>
          <w:p>
            <w:pPr>
              <w:pStyle w:val="11"/>
              <w:rPr>
                <w:rFonts w:hint="eastAsia"/>
                <w:sz w:val="15"/>
                <w:szCs w:val="15"/>
                <w:lang w:eastAsia="zh-CN"/>
              </w:rPr>
            </w:pPr>
            <w:r>
              <w:rPr>
                <w:rFonts w:hint="eastAsia"/>
                <w:sz w:val="15"/>
                <w:szCs w:val="15"/>
                <w:lang w:eastAsia="zh-CN"/>
              </w:rPr>
              <w:t>30</w:t>
            </w:r>
          </w:p>
        </w:tc>
        <w:tc>
          <w:tcPr>
            <w:tcW w:w="1134" w:type="dxa"/>
            <w:vAlign w:val="center"/>
          </w:tcPr>
          <w:p>
            <w:pPr>
              <w:pStyle w:val="12"/>
              <w:rPr>
                <w:rFonts w:hint="eastAsia"/>
                <w:sz w:val="15"/>
                <w:szCs w:val="15"/>
                <w:lang w:eastAsia="zh-CN"/>
              </w:rPr>
            </w:pPr>
            <w:r>
              <w:rPr>
                <w:rFonts w:hint="eastAsia"/>
                <w:sz w:val="15"/>
                <w:szCs w:val="15"/>
                <w:lang w:eastAsia="zh-CN"/>
              </w:rPr>
              <w:t>空调</w:t>
            </w:r>
          </w:p>
        </w:tc>
        <w:tc>
          <w:tcPr>
            <w:tcW w:w="1134" w:type="dxa"/>
            <w:vAlign w:val="center"/>
          </w:tcPr>
          <w:p>
            <w:pPr>
              <w:pStyle w:val="12"/>
              <w:rPr>
                <w:rFonts w:hint="eastAsia"/>
                <w:sz w:val="15"/>
                <w:szCs w:val="15"/>
                <w:lang w:eastAsia="zh-CN"/>
              </w:rPr>
            </w:pPr>
            <w:r>
              <w:rPr>
                <w:rFonts w:hint="eastAsia"/>
                <w:sz w:val="15"/>
                <w:szCs w:val="15"/>
                <w:lang w:eastAsia="zh-CN"/>
              </w:rPr>
              <w:t>A02061802</w:t>
            </w:r>
          </w:p>
        </w:tc>
        <w:tc>
          <w:tcPr>
            <w:tcW w:w="709" w:type="dxa"/>
            <w:vAlign w:val="center"/>
          </w:tcPr>
          <w:p>
            <w:pPr>
              <w:pStyle w:val="12"/>
              <w:rPr>
                <w:rFonts w:hint="eastAsia"/>
                <w:sz w:val="15"/>
                <w:szCs w:val="15"/>
                <w:lang w:eastAsia="zh-CN"/>
              </w:rPr>
            </w:pPr>
            <w:r>
              <w:rPr>
                <w:rFonts w:hint="eastAsia"/>
                <w:sz w:val="15"/>
                <w:szCs w:val="15"/>
                <w:lang w:eastAsia="zh-CN"/>
              </w:rPr>
              <w:t>台</w:t>
            </w:r>
          </w:p>
        </w:tc>
        <w:tc>
          <w:tcPr>
            <w:tcW w:w="850" w:type="dxa"/>
            <w:vAlign w:val="center"/>
          </w:tcPr>
          <w:p>
            <w:pPr>
              <w:pStyle w:val="12"/>
              <w:rPr>
                <w:rFonts w:hint="eastAsia"/>
                <w:sz w:val="15"/>
                <w:szCs w:val="15"/>
                <w:lang w:eastAsia="zh-CN"/>
              </w:rPr>
            </w:pPr>
            <w:r>
              <w:rPr>
                <w:rFonts w:hint="eastAsia"/>
                <w:sz w:val="15"/>
                <w:szCs w:val="15"/>
                <w:lang w:eastAsia="zh-CN"/>
              </w:rPr>
              <w:t>3</w:t>
            </w:r>
          </w:p>
        </w:tc>
        <w:tc>
          <w:tcPr>
            <w:tcW w:w="850" w:type="dxa"/>
            <w:vAlign w:val="center"/>
          </w:tcPr>
          <w:p>
            <w:pPr>
              <w:pStyle w:val="12"/>
              <w:rPr>
                <w:rFonts w:hint="eastAsia"/>
                <w:sz w:val="15"/>
                <w:szCs w:val="15"/>
                <w:lang w:eastAsia="zh-CN"/>
              </w:rPr>
            </w:pPr>
            <w:r>
              <w:rPr>
                <w:rFonts w:hint="eastAsia"/>
                <w:sz w:val="15"/>
                <w:szCs w:val="15"/>
                <w:lang w:eastAsia="zh-CN"/>
              </w:rPr>
              <w:t>0.25</w:t>
            </w:r>
          </w:p>
        </w:tc>
        <w:tc>
          <w:tcPr>
            <w:tcW w:w="964" w:type="dxa"/>
            <w:vAlign w:val="center"/>
          </w:tcPr>
          <w:p>
            <w:pPr>
              <w:pStyle w:val="12"/>
              <w:rPr>
                <w:rFonts w:hint="eastAsia"/>
                <w:sz w:val="15"/>
                <w:szCs w:val="15"/>
                <w:lang w:eastAsia="zh-CN"/>
              </w:rPr>
            </w:pPr>
            <w:r>
              <w:rPr>
                <w:rFonts w:hint="eastAsia"/>
                <w:sz w:val="15"/>
                <w:szCs w:val="15"/>
                <w:lang w:eastAsia="zh-CN"/>
              </w:rPr>
              <w:t>0.75</w:t>
            </w:r>
          </w:p>
        </w:tc>
        <w:tc>
          <w:tcPr>
            <w:tcW w:w="964" w:type="dxa"/>
            <w:vAlign w:val="center"/>
          </w:tcPr>
          <w:p>
            <w:pPr>
              <w:pStyle w:val="12"/>
              <w:rPr>
                <w:rFonts w:hint="eastAsia"/>
                <w:sz w:val="15"/>
                <w:szCs w:val="15"/>
                <w:lang w:eastAsia="zh-CN"/>
              </w:rPr>
            </w:pPr>
            <w:r>
              <w:rPr>
                <w:rFonts w:hint="eastAsia"/>
                <w:sz w:val="15"/>
                <w:szCs w:val="15"/>
                <w:lang w:eastAsia="zh-CN"/>
              </w:rPr>
              <w:t>0.75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ascii="方正仿宋_GBK" w:hAnsi="方正仿宋_GBK" w:eastAsia="方正仿宋_GBK" w:cs="方正仿宋_GBK"/>
                <w:color w:val="000000"/>
                <w:sz w:val="18"/>
                <w:szCs w:val="18"/>
                <w:lang w:eastAsia="zh-CN"/>
              </w:rPr>
            </w:pPr>
            <w:r>
              <w:rPr>
                <w:rFonts w:hint="eastAsia" w:ascii="方正仿宋_GBK" w:hAnsi="方正仿宋_GBK" w:eastAsia="方正仿宋_GBK" w:cs="方正仿宋_GBK"/>
                <w:color w:val="000000"/>
                <w:sz w:val="18"/>
                <w:szCs w:val="18"/>
                <w:lang w:eastAsia="zh-CN"/>
              </w:rPr>
              <w:t>公用经费</w:t>
            </w:r>
          </w:p>
        </w:tc>
        <w:tc>
          <w:tcPr>
            <w:tcW w:w="964" w:type="dxa"/>
            <w:vAlign w:val="center"/>
          </w:tcPr>
          <w:p>
            <w:pPr>
              <w:pStyle w:val="11"/>
              <w:rPr>
                <w:rFonts w:hint="eastAsia"/>
                <w:sz w:val="15"/>
                <w:szCs w:val="15"/>
                <w:lang w:eastAsia="zh-CN"/>
              </w:rPr>
            </w:pPr>
            <w:r>
              <w:rPr>
                <w:rFonts w:hint="eastAsia"/>
                <w:sz w:val="15"/>
                <w:szCs w:val="15"/>
                <w:lang w:eastAsia="zh-CN"/>
              </w:rPr>
              <w:t>41.52</w:t>
            </w:r>
          </w:p>
        </w:tc>
        <w:tc>
          <w:tcPr>
            <w:tcW w:w="1134" w:type="dxa"/>
            <w:vAlign w:val="center"/>
          </w:tcPr>
          <w:p>
            <w:pPr>
              <w:pStyle w:val="12"/>
              <w:rPr>
                <w:rFonts w:hint="eastAsia"/>
                <w:sz w:val="15"/>
                <w:szCs w:val="15"/>
                <w:lang w:eastAsia="zh-CN"/>
              </w:rPr>
            </w:pPr>
            <w:r>
              <w:rPr>
                <w:rFonts w:hint="eastAsia"/>
                <w:sz w:val="15"/>
                <w:szCs w:val="15"/>
                <w:lang w:eastAsia="zh-CN"/>
              </w:rPr>
              <w:t>车辆加油服务</w:t>
            </w:r>
          </w:p>
        </w:tc>
        <w:tc>
          <w:tcPr>
            <w:tcW w:w="1134" w:type="dxa"/>
            <w:vAlign w:val="center"/>
          </w:tcPr>
          <w:p>
            <w:pPr>
              <w:pStyle w:val="12"/>
              <w:rPr>
                <w:rFonts w:hint="eastAsia"/>
                <w:sz w:val="15"/>
                <w:szCs w:val="15"/>
                <w:lang w:eastAsia="zh-CN"/>
              </w:rPr>
            </w:pPr>
            <w:r>
              <w:rPr>
                <w:rFonts w:hint="eastAsia"/>
                <w:sz w:val="15"/>
                <w:szCs w:val="15"/>
                <w:lang w:eastAsia="zh-CN"/>
              </w:rPr>
              <w:t>C050302</w:t>
            </w:r>
          </w:p>
        </w:tc>
        <w:tc>
          <w:tcPr>
            <w:tcW w:w="709" w:type="dxa"/>
            <w:vAlign w:val="center"/>
          </w:tcPr>
          <w:p>
            <w:pPr>
              <w:pStyle w:val="12"/>
              <w:rPr>
                <w:rFonts w:hint="eastAsia"/>
                <w:sz w:val="15"/>
                <w:szCs w:val="15"/>
                <w:lang w:eastAsia="zh-CN"/>
              </w:rPr>
            </w:pPr>
            <w:r>
              <w:rPr>
                <w:rFonts w:hint="eastAsia"/>
                <w:sz w:val="15"/>
                <w:szCs w:val="15"/>
                <w:lang w:eastAsia="zh-CN"/>
              </w:rPr>
              <w:t>项</w:t>
            </w:r>
          </w:p>
        </w:tc>
        <w:tc>
          <w:tcPr>
            <w:tcW w:w="850" w:type="dxa"/>
            <w:vAlign w:val="center"/>
          </w:tcPr>
          <w:p>
            <w:pPr>
              <w:pStyle w:val="12"/>
              <w:rPr>
                <w:rFonts w:hint="eastAsia"/>
                <w:sz w:val="15"/>
                <w:szCs w:val="15"/>
                <w:lang w:eastAsia="zh-CN"/>
              </w:rPr>
            </w:pPr>
            <w:r>
              <w:rPr>
                <w:rFonts w:hint="eastAsia"/>
                <w:sz w:val="15"/>
                <w:szCs w:val="15"/>
                <w:lang w:eastAsia="zh-CN"/>
              </w:rPr>
              <w:t>1</w:t>
            </w:r>
          </w:p>
        </w:tc>
        <w:tc>
          <w:tcPr>
            <w:tcW w:w="850" w:type="dxa"/>
            <w:vAlign w:val="center"/>
          </w:tcPr>
          <w:p>
            <w:pPr>
              <w:pStyle w:val="12"/>
              <w:rPr>
                <w:rFonts w:hint="eastAsia"/>
                <w:sz w:val="15"/>
                <w:szCs w:val="15"/>
                <w:lang w:eastAsia="zh-CN"/>
              </w:rPr>
            </w:pPr>
            <w:r>
              <w:rPr>
                <w:rFonts w:hint="eastAsia"/>
                <w:sz w:val="15"/>
                <w:szCs w:val="15"/>
                <w:lang w:eastAsia="zh-CN"/>
              </w:rPr>
              <w:t>0.5</w:t>
            </w:r>
          </w:p>
        </w:tc>
        <w:tc>
          <w:tcPr>
            <w:tcW w:w="964" w:type="dxa"/>
            <w:vAlign w:val="center"/>
          </w:tcPr>
          <w:p>
            <w:pPr>
              <w:pStyle w:val="12"/>
              <w:rPr>
                <w:rFonts w:hint="eastAsia"/>
                <w:sz w:val="15"/>
                <w:szCs w:val="15"/>
                <w:lang w:eastAsia="zh-CN"/>
              </w:rPr>
            </w:pPr>
            <w:r>
              <w:rPr>
                <w:rFonts w:hint="eastAsia"/>
                <w:sz w:val="15"/>
                <w:szCs w:val="15"/>
                <w:lang w:eastAsia="zh-CN"/>
              </w:rPr>
              <w:t>0.5</w:t>
            </w:r>
          </w:p>
        </w:tc>
        <w:tc>
          <w:tcPr>
            <w:tcW w:w="964" w:type="dxa"/>
            <w:vAlign w:val="center"/>
          </w:tcPr>
          <w:p>
            <w:pPr>
              <w:pStyle w:val="12"/>
              <w:rPr>
                <w:rFonts w:hint="eastAsia"/>
                <w:sz w:val="15"/>
                <w:szCs w:val="15"/>
                <w:lang w:eastAsia="zh-CN"/>
              </w:rPr>
            </w:pPr>
            <w:r>
              <w:rPr>
                <w:rFonts w:hint="eastAsia"/>
                <w:sz w:val="15"/>
                <w:szCs w:val="15"/>
                <w:lang w:eastAsia="zh-CN"/>
              </w:rPr>
              <w:t>0.5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ascii="方正仿宋_GBK" w:hAnsi="方正仿宋_GBK" w:eastAsia="方正仿宋_GBK" w:cs="方正仿宋_GBK"/>
                <w:color w:val="000000"/>
                <w:sz w:val="18"/>
                <w:szCs w:val="18"/>
                <w:lang w:eastAsia="zh-CN"/>
              </w:rPr>
            </w:pPr>
            <w:r>
              <w:rPr>
                <w:rFonts w:hint="eastAsia" w:ascii="方正仿宋_GBK" w:hAnsi="方正仿宋_GBK" w:eastAsia="方正仿宋_GBK" w:cs="方正仿宋_GBK"/>
                <w:color w:val="000000"/>
                <w:sz w:val="18"/>
                <w:szCs w:val="18"/>
                <w:lang w:eastAsia="zh-CN"/>
              </w:rPr>
              <w:t>公用经费</w:t>
            </w:r>
          </w:p>
        </w:tc>
        <w:tc>
          <w:tcPr>
            <w:tcW w:w="964" w:type="dxa"/>
            <w:vAlign w:val="center"/>
          </w:tcPr>
          <w:p>
            <w:pPr>
              <w:pStyle w:val="11"/>
              <w:rPr>
                <w:rFonts w:hint="eastAsia"/>
                <w:sz w:val="15"/>
                <w:szCs w:val="15"/>
                <w:lang w:eastAsia="zh-CN"/>
              </w:rPr>
            </w:pPr>
            <w:r>
              <w:rPr>
                <w:rFonts w:hint="eastAsia"/>
                <w:sz w:val="15"/>
                <w:szCs w:val="15"/>
                <w:lang w:eastAsia="zh-CN"/>
              </w:rPr>
              <w:t>41.52</w:t>
            </w:r>
          </w:p>
        </w:tc>
        <w:tc>
          <w:tcPr>
            <w:tcW w:w="1134" w:type="dxa"/>
            <w:vAlign w:val="center"/>
          </w:tcPr>
          <w:p>
            <w:pPr>
              <w:pStyle w:val="12"/>
              <w:rPr>
                <w:rFonts w:hint="eastAsia"/>
                <w:sz w:val="15"/>
                <w:szCs w:val="15"/>
                <w:lang w:eastAsia="zh-CN"/>
              </w:rPr>
            </w:pPr>
            <w:r>
              <w:rPr>
                <w:rFonts w:hint="eastAsia"/>
                <w:sz w:val="15"/>
                <w:szCs w:val="15"/>
                <w:lang w:eastAsia="zh-CN"/>
              </w:rPr>
              <w:t>车辆维修和保养</w:t>
            </w:r>
          </w:p>
        </w:tc>
        <w:tc>
          <w:tcPr>
            <w:tcW w:w="1134" w:type="dxa"/>
            <w:vAlign w:val="center"/>
          </w:tcPr>
          <w:p>
            <w:pPr>
              <w:pStyle w:val="12"/>
              <w:rPr>
                <w:rFonts w:hint="eastAsia"/>
                <w:sz w:val="15"/>
                <w:szCs w:val="15"/>
                <w:lang w:eastAsia="zh-CN"/>
              </w:rPr>
            </w:pPr>
            <w:r>
              <w:rPr>
                <w:rFonts w:hint="eastAsia"/>
                <w:sz w:val="15"/>
                <w:szCs w:val="15"/>
                <w:lang w:eastAsia="zh-CN"/>
              </w:rPr>
              <w:t>C050301</w:t>
            </w:r>
          </w:p>
        </w:tc>
        <w:tc>
          <w:tcPr>
            <w:tcW w:w="709" w:type="dxa"/>
            <w:vAlign w:val="center"/>
          </w:tcPr>
          <w:p>
            <w:pPr>
              <w:pStyle w:val="12"/>
              <w:rPr>
                <w:rFonts w:hint="eastAsia"/>
                <w:sz w:val="15"/>
                <w:szCs w:val="15"/>
                <w:lang w:eastAsia="zh-CN"/>
              </w:rPr>
            </w:pPr>
            <w:r>
              <w:rPr>
                <w:rFonts w:hint="eastAsia"/>
                <w:sz w:val="15"/>
                <w:szCs w:val="15"/>
                <w:lang w:eastAsia="zh-CN"/>
              </w:rPr>
              <w:t>项</w:t>
            </w:r>
          </w:p>
        </w:tc>
        <w:tc>
          <w:tcPr>
            <w:tcW w:w="850" w:type="dxa"/>
            <w:vAlign w:val="center"/>
          </w:tcPr>
          <w:p>
            <w:pPr>
              <w:pStyle w:val="12"/>
              <w:rPr>
                <w:rFonts w:hint="eastAsia"/>
                <w:sz w:val="15"/>
                <w:szCs w:val="15"/>
                <w:lang w:eastAsia="zh-CN"/>
              </w:rPr>
            </w:pPr>
            <w:r>
              <w:rPr>
                <w:rFonts w:hint="eastAsia"/>
                <w:sz w:val="15"/>
                <w:szCs w:val="15"/>
                <w:lang w:eastAsia="zh-CN"/>
              </w:rPr>
              <w:t>1</w:t>
            </w:r>
          </w:p>
        </w:tc>
        <w:tc>
          <w:tcPr>
            <w:tcW w:w="850" w:type="dxa"/>
            <w:vAlign w:val="center"/>
          </w:tcPr>
          <w:p>
            <w:pPr>
              <w:pStyle w:val="12"/>
              <w:rPr>
                <w:rFonts w:hint="eastAsia"/>
                <w:sz w:val="15"/>
                <w:szCs w:val="15"/>
                <w:lang w:eastAsia="zh-CN"/>
              </w:rPr>
            </w:pPr>
            <w:r>
              <w:rPr>
                <w:rFonts w:hint="eastAsia"/>
                <w:sz w:val="15"/>
                <w:szCs w:val="15"/>
                <w:lang w:eastAsia="zh-CN"/>
              </w:rPr>
              <w:t>0.5</w:t>
            </w:r>
          </w:p>
        </w:tc>
        <w:tc>
          <w:tcPr>
            <w:tcW w:w="964" w:type="dxa"/>
            <w:vAlign w:val="center"/>
          </w:tcPr>
          <w:p>
            <w:pPr>
              <w:pStyle w:val="12"/>
              <w:rPr>
                <w:rFonts w:hint="eastAsia"/>
                <w:sz w:val="15"/>
                <w:szCs w:val="15"/>
                <w:lang w:eastAsia="zh-CN"/>
              </w:rPr>
            </w:pPr>
            <w:r>
              <w:rPr>
                <w:rFonts w:hint="eastAsia"/>
                <w:sz w:val="15"/>
                <w:szCs w:val="15"/>
                <w:lang w:eastAsia="zh-CN"/>
              </w:rPr>
              <w:t>0.5</w:t>
            </w:r>
          </w:p>
        </w:tc>
        <w:tc>
          <w:tcPr>
            <w:tcW w:w="964" w:type="dxa"/>
            <w:vAlign w:val="center"/>
          </w:tcPr>
          <w:p>
            <w:pPr>
              <w:pStyle w:val="12"/>
              <w:rPr>
                <w:rFonts w:hint="eastAsia"/>
                <w:sz w:val="15"/>
                <w:szCs w:val="15"/>
                <w:lang w:eastAsia="zh-CN"/>
              </w:rPr>
            </w:pPr>
            <w:r>
              <w:rPr>
                <w:rFonts w:hint="eastAsia"/>
                <w:sz w:val="15"/>
                <w:szCs w:val="15"/>
                <w:lang w:eastAsia="zh-CN"/>
              </w:rPr>
              <w:t>0.5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保定市人民政府外事办公室（含所属单位）上年末固定资产金额为</w:t>
      </w:r>
      <w:r>
        <w:rPr>
          <w:rFonts w:hint="eastAsia" w:eastAsia="方正仿宋_GBK"/>
          <w:color w:val="000000"/>
          <w:sz w:val="28"/>
          <w:lang w:eastAsia="zh-CN"/>
        </w:rPr>
        <w:t>89.17</w:t>
      </w:r>
      <w:r>
        <w:rPr>
          <w:rFonts w:eastAsia="方正仿宋_GBK"/>
          <w:color w:val="000000"/>
          <w:sz w:val="28"/>
        </w:rPr>
        <w:t>万元（详见下表）。本年度拟购置固定资产总额为</w:t>
      </w:r>
      <w:r>
        <w:rPr>
          <w:rFonts w:hint="eastAsia" w:eastAsia="方正仿宋_GBK"/>
          <w:color w:val="000000"/>
          <w:sz w:val="28"/>
          <w:lang w:eastAsia="zh-CN"/>
        </w:rPr>
        <w:t>7.15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438保定市人民政府外事办公室</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rPr>
                <w:rFonts w:hint="eastAsia"/>
                <w:lang w:eastAsia="zh-CN"/>
              </w:rPr>
              <w:t>89.17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rPr>
                <w:rFonts w:hint="eastAsia"/>
                <w:lang w:eastAsia="zh-CN"/>
              </w:rPr>
              <w:t>1</w:t>
            </w:r>
          </w:p>
        </w:tc>
        <w:tc>
          <w:tcPr>
            <w:tcW w:w="2835" w:type="dxa"/>
            <w:vAlign w:val="center"/>
          </w:tcPr>
          <w:p>
            <w:pPr>
              <w:pStyle w:val="11"/>
            </w:pPr>
            <w:r>
              <w:rPr>
                <w:rFonts w:hint="eastAsia"/>
                <w:lang w:eastAsia="zh-CN"/>
              </w:rPr>
              <w:t>24.86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p>
        </w:tc>
        <w:tc>
          <w:tcPr>
            <w:tcW w:w="2835" w:type="dxa"/>
            <w:vAlign w:val="center"/>
          </w:tcPr>
          <w:p>
            <w:pPr>
              <w:pStyle w:val="11"/>
            </w:pPr>
            <w:r>
              <w:rPr>
                <w:rFonts w:hint="eastAsia"/>
                <w:lang w:eastAsia="zh-CN"/>
              </w:rPr>
              <w:t>64.05</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0201"/>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jc w:val="right"/>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18"/>
        <w:szCs w:val="18"/>
      </w:rPr>
    </w:pPr>
    <w:r>
      <w:rPr>
        <w:sz w:val="18"/>
        <w:szCs w:val="18"/>
      </w:rPr>
      <w:fldChar w:fldCharType="begin"/>
    </w:r>
    <w:r>
      <w:rPr>
        <w:sz w:val="18"/>
        <w:szCs w:val="18"/>
      </w:rPr>
      <w:instrText xml:space="preserve">PAGE "page number"</w:instrText>
    </w:r>
    <w:r>
      <w:rPr>
        <w:sz w:val="18"/>
        <w:szCs w:val="18"/>
      </w:rPr>
      <w:fldChar w:fldCharType="separate"/>
    </w:r>
    <w:r>
      <w:rPr>
        <w:sz w:val="18"/>
        <w:szCs w:val="18"/>
      </w:rPr>
      <w:t>2</w:t>
    </w:r>
    <w:r>
      <w:rPr>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720"/>
  <w:drawingGridHorizontalSpacing w:val="120"/>
  <w:displayHorizontalDrawingGridEvery w:val="2"/>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OTEzZjVjNmMxYjkzM2VmNDc2NmU5ZDczM2Y2MmIifQ=="/>
  </w:docVars>
  <w:rsids>
    <w:rsidRoot w:val="00343F2F"/>
    <w:rsid w:val="00044C5D"/>
    <w:rsid w:val="000D02C4"/>
    <w:rsid w:val="00256DC7"/>
    <w:rsid w:val="00343F2F"/>
    <w:rsid w:val="003D06DC"/>
    <w:rsid w:val="0043010A"/>
    <w:rsid w:val="00497602"/>
    <w:rsid w:val="00714387"/>
    <w:rsid w:val="00826B84"/>
    <w:rsid w:val="00836B97"/>
    <w:rsid w:val="009A1F74"/>
    <w:rsid w:val="00AD347F"/>
    <w:rsid w:val="00BF4A8B"/>
    <w:rsid w:val="00CB7A31"/>
    <w:rsid w:val="00CF0715"/>
    <w:rsid w:val="00D44DA5"/>
    <w:rsid w:val="00DC0CC4"/>
    <w:rsid w:val="00DE4A3A"/>
    <w:rsid w:val="00F7206F"/>
    <w:rsid w:val="2F320D4C"/>
    <w:rsid w:val="590B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unhideWhenUsed/>
    <w:qFormat/>
    <w:uiPriority w:val="99"/>
    <w:pPr>
      <w:tabs>
        <w:tab w:val="center" w:pos="4153"/>
        <w:tab w:val="right" w:pos="8306"/>
      </w:tabs>
      <w:snapToGrid w:val="0"/>
    </w:pPr>
    <w:rPr>
      <w:sz w:val="18"/>
      <w:szCs w:val="18"/>
    </w:rPr>
  </w:style>
  <w:style w:type="paragraph" w:styleId="3">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uiPriority w:val="99"/>
    <w:rPr>
      <w:rFonts w:eastAsia="Times New Roman"/>
      <w:sz w:val="18"/>
      <w:szCs w:val="18"/>
      <w:lang w:eastAsia="uk-UA"/>
    </w:rPr>
  </w:style>
  <w:style w:type="character" w:customStyle="1" w:styleId="34">
    <w:name w:val="页脚 Char"/>
    <w:basedOn w:val="6"/>
    <w:link w:val="2"/>
    <w:qFormat/>
    <w:uiPriority w:val="99"/>
    <w:rPr>
      <w:rFonts w:eastAsia="Times New Roman"/>
      <w:sz w:val="18"/>
      <w:szCs w:val="18"/>
      <w:lang w:eastAsia="uk-UA"/>
    </w:rPr>
  </w:style>
  <w:style w:type="paragraph" w:customStyle="1" w:styleId="35">
    <w:name w:val="Normal_e155f901-ca45-4470-afb3-8504056cb521"/>
    <w:qFormat/>
    <w:uiPriority w:val="0"/>
    <w:rPr>
      <w:rFonts w:ascii="Times New Roman" w:hAnsi="Times New Roman" w:eastAsia="Times New Roman" w:cs="Times New Roman"/>
      <w:sz w:val="24"/>
      <w:szCs w:val="24"/>
      <w:lang w:val="en-US" w:eastAsia="uk-UA" w:bidi="ar-SA"/>
    </w:rPr>
  </w:style>
  <w:style w:type="paragraph" w:customStyle="1" w:styleId="36">
    <w:name w:val="单元格样式1_cb87e9d4-8c24-4ce5-a687-188e7fba010f"/>
    <w:basedOn w:val="1"/>
    <w:qFormat/>
    <w:uiPriority w:val="0"/>
    <w:pPr>
      <w:jc w:val="center"/>
    </w:pPr>
    <w:rPr>
      <w:rFonts w:ascii="方正书宋_GBK" w:hAnsi="方正书宋_GBK" w:eastAsia="方正书宋_GBK" w:cs="方正书宋_GBK"/>
      <w:b/>
      <w:sz w:val="21"/>
    </w:rPr>
  </w:style>
  <w:style w:type="paragraph" w:customStyle="1" w:styleId="37">
    <w:name w:val="单元格样式2_66f19a9a-4077-4c15-983c-f2f0d91d503c"/>
    <w:basedOn w:val="1"/>
    <w:qFormat/>
    <w:uiPriority w:val="0"/>
    <w:rPr>
      <w:rFonts w:ascii="方正书宋_GBK" w:hAnsi="方正书宋_GBK" w:eastAsia="方正书宋_GBK" w:cs="方正书宋_GBK"/>
      <w:sz w:val="21"/>
    </w:rPr>
  </w:style>
  <w:style w:type="paragraph" w:customStyle="1" w:styleId="38">
    <w:name w:val="单元格样式3_507fd89c-e27c-4aae-ac44-d0e7d0d215c9"/>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2022-06-17T16:57:07Z</dcterms:created>
  <dcterms:modified xsi:type="dcterms:W3CDTF">2022-06-17T08:57:07Z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2022-06-17T16:57:02Z</dcterms:created>
  <dcterms:modified xsi:type="dcterms:W3CDTF">2022-06-17T08:57:02Z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2022-06-17T16:57:13Z</dcterms:created>
  <dcterms:modified xsi:type="dcterms:W3CDTF">2022-06-17T08:57:13Z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2022-06-17T16:57:06Z</dcterms:created>
  <dcterms:modified xsi:type="dcterms:W3CDTF">2022-06-17T08:57:06Z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2022-06-17T16:57:02Z</dcterms:created>
  <dcterms:modified xsi:type="dcterms:W3CDTF">2022-06-17T08:57:02Z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2022-06-17T16:57:13Z</dcterms:created>
  <dcterms:modified xsi:type="dcterms:W3CDTF">2022-06-17T08:57:13Z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2022-06-17T16:57:13Z</dcterms:created>
  <dcterms:modified xsi:type="dcterms:W3CDTF">2022-06-17T08:57:13Z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2022-06-17T16:57:00Z</dcterms:created>
  <dcterms:modified xsi:type="dcterms:W3CDTF">2022-06-17T08:57:00Z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2022-06-17T16:57:10Z</dcterms:created>
  <dcterms:modified xsi:type="dcterms:W3CDTF">2022-06-17T08:57:10Z</dcterms:modified>
</cp:core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2022-06-17T16:57:07Z</dcterms:created>
  <dcterms:modified xsi:type="dcterms:W3CDTF">2022-06-17T08:57:07Z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2022-06-17T16:57:02Z</dcterms:created>
  <dcterms:modified xsi:type="dcterms:W3CDTF">2022-06-17T08:57:02Z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2022-06-17T16:57:10Z</dcterms:created>
  <dcterms:modified xsi:type="dcterms:W3CDTF">2022-06-17T08:57:09Z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2022-06-17T16:57:02Z</dcterms:created>
  <dcterms:modified xsi:type="dcterms:W3CDTF">2022-06-17T08:57:02Z</dcterms:modified>
</cp:coreProperties>
</file>

<file path=customXml/itemProps1.xml><?xml version="1.0" encoding="utf-8"?>
<ds:datastoreItem xmlns:ds="http://schemas.openxmlformats.org/officeDocument/2006/customXml" ds:itemID="{9933421A-A23F-4CD4-BAE9-A52D64DD9339}">
  <ds:schemaRefs/>
</ds:datastoreItem>
</file>

<file path=customXml/itemProps10.xml><?xml version="1.0" encoding="utf-8"?>
<ds:datastoreItem xmlns:ds="http://schemas.openxmlformats.org/officeDocument/2006/customXml" ds:itemID="{052861EA-5556-4936-9CC2-A43EDB4B0057}">
  <ds:schemaRefs/>
</ds:datastoreItem>
</file>

<file path=customXml/itemProps11.xml><?xml version="1.0" encoding="utf-8"?>
<ds:datastoreItem xmlns:ds="http://schemas.openxmlformats.org/officeDocument/2006/customXml" ds:itemID="{C55E9DB6-2794-4861-AEFA-C1F7F93FFC77}">
  <ds:schemaRefs/>
</ds:datastoreItem>
</file>

<file path=customXml/itemProps12.xml><?xml version="1.0" encoding="utf-8"?>
<ds:datastoreItem xmlns:ds="http://schemas.openxmlformats.org/officeDocument/2006/customXml" ds:itemID="{A3B1B7C4-FA58-4895-AAEE-4482B5CCECBA}">
  <ds:schemaRefs/>
</ds:datastoreItem>
</file>

<file path=customXml/itemProps13.xml><?xml version="1.0" encoding="utf-8"?>
<ds:datastoreItem xmlns:ds="http://schemas.openxmlformats.org/officeDocument/2006/customXml" ds:itemID="{2EC41600-10E3-40F5-82AE-EE92AE902FEE}">
  <ds:schemaRefs/>
</ds:datastoreItem>
</file>

<file path=customXml/itemProps14.xml><?xml version="1.0" encoding="utf-8"?>
<ds:datastoreItem xmlns:ds="http://schemas.openxmlformats.org/officeDocument/2006/customXml" ds:itemID="{D370B41F-17F4-456C-8EB8-2B4332CAB5AE}">
  <ds:schemaRefs/>
</ds:datastoreItem>
</file>

<file path=customXml/itemProps15.xml><?xml version="1.0" encoding="utf-8"?>
<ds:datastoreItem xmlns:ds="http://schemas.openxmlformats.org/officeDocument/2006/customXml" ds:itemID="{142D92A7-A3D6-4F87-8294-369B921587D5}">
  <ds:schemaRefs/>
</ds:datastoreItem>
</file>

<file path=customXml/itemProps16.xml><?xml version="1.0" encoding="utf-8"?>
<ds:datastoreItem xmlns:ds="http://schemas.openxmlformats.org/officeDocument/2006/customXml" ds:itemID="{E2F73C46-114C-488A-B969-01DF4D1E0858}">
  <ds:schemaRefs/>
</ds:datastoreItem>
</file>

<file path=customXml/itemProps17.xml><?xml version="1.0" encoding="utf-8"?>
<ds:datastoreItem xmlns:ds="http://schemas.openxmlformats.org/officeDocument/2006/customXml" ds:itemID="{6E8F73FF-34CD-407B-9979-F9609B0551D9}">
  <ds:schemaRefs/>
</ds:datastoreItem>
</file>

<file path=customXml/itemProps18.xml><?xml version="1.0" encoding="utf-8"?>
<ds:datastoreItem xmlns:ds="http://schemas.openxmlformats.org/officeDocument/2006/customXml" ds:itemID="{D2CB90AB-CC81-4A76-9E67-A129FAACE45E}">
  <ds:schemaRefs/>
</ds:datastoreItem>
</file>

<file path=customXml/itemProps19.xml><?xml version="1.0" encoding="utf-8"?>
<ds:datastoreItem xmlns:ds="http://schemas.openxmlformats.org/officeDocument/2006/customXml" ds:itemID="{D887E244-8FC3-4C4A-B9D4-064872F877BC}">
  <ds:schemaRefs/>
</ds:datastoreItem>
</file>

<file path=customXml/itemProps2.xml><?xml version="1.0" encoding="utf-8"?>
<ds:datastoreItem xmlns:ds="http://schemas.openxmlformats.org/officeDocument/2006/customXml" ds:itemID="{B0A2591F-E1DA-4BEE-9463-3BD15E636D16}">
  <ds:schemaRefs/>
</ds:datastoreItem>
</file>

<file path=customXml/itemProps20.xml><?xml version="1.0" encoding="utf-8"?>
<ds:datastoreItem xmlns:ds="http://schemas.openxmlformats.org/officeDocument/2006/customXml" ds:itemID="{1062C92A-DC99-4752-9ACA-F169C76F1F41}">
  <ds:schemaRefs/>
</ds:datastoreItem>
</file>

<file path=customXml/itemProps21.xml><?xml version="1.0" encoding="utf-8"?>
<ds:datastoreItem xmlns:ds="http://schemas.openxmlformats.org/officeDocument/2006/customXml" ds:itemID="{AEB8C7EB-B6DD-4B29-AD80-DFC999208A7C}">
  <ds:schemaRefs/>
</ds:datastoreItem>
</file>

<file path=customXml/itemProps22.xml><?xml version="1.0" encoding="utf-8"?>
<ds:datastoreItem xmlns:ds="http://schemas.openxmlformats.org/officeDocument/2006/customXml" ds:itemID="{7B9363F7-22B8-458C-BFC2-3258F8C74F5D}">
  <ds:schemaRefs/>
</ds:datastoreItem>
</file>

<file path=customXml/itemProps23.xml><?xml version="1.0" encoding="utf-8"?>
<ds:datastoreItem xmlns:ds="http://schemas.openxmlformats.org/officeDocument/2006/customXml" ds:itemID="{4022C96A-D1AB-427A-831A-1BBC6DC838F9}">
  <ds:schemaRefs/>
</ds:datastoreItem>
</file>

<file path=customXml/itemProps24.xml><?xml version="1.0" encoding="utf-8"?>
<ds:datastoreItem xmlns:ds="http://schemas.openxmlformats.org/officeDocument/2006/customXml" ds:itemID="{2D82291E-C25C-48D9-A2B1-59E5053E2665}">
  <ds:schemaRefs/>
</ds:datastoreItem>
</file>

<file path=customXml/itemProps25.xml><?xml version="1.0" encoding="utf-8"?>
<ds:datastoreItem xmlns:ds="http://schemas.openxmlformats.org/officeDocument/2006/customXml" ds:itemID="{3DA79CF9-70CC-4B66-8DC4-4089807D9E36}">
  <ds:schemaRefs/>
</ds:datastoreItem>
</file>

<file path=customXml/itemProps26.xml><?xml version="1.0" encoding="utf-8"?>
<ds:datastoreItem xmlns:ds="http://schemas.openxmlformats.org/officeDocument/2006/customXml" ds:itemID="{F2084ADB-776C-44A4-8977-F9ABB1A2D96F}">
  <ds:schemaRefs/>
</ds:datastoreItem>
</file>

<file path=customXml/itemProps27.xml><?xml version="1.0" encoding="utf-8"?>
<ds:datastoreItem xmlns:ds="http://schemas.openxmlformats.org/officeDocument/2006/customXml" ds:itemID="{5118769A-8E16-4403-AEEE-98BF3600F164}">
  <ds:schemaRefs/>
</ds:datastoreItem>
</file>

<file path=customXml/itemProps3.xml><?xml version="1.0" encoding="utf-8"?>
<ds:datastoreItem xmlns:ds="http://schemas.openxmlformats.org/officeDocument/2006/customXml" ds:itemID="{6EE33AF5-ADC9-4DA4-98C5-207747E073C4}">
  <ds:schemaRefs/>
</ds:datastoreItem>
</file>

<file path=customXml/itemProps4.xml><?xml version="1.0" encoding="utf-8"?>
<ds:datastoreItem xmlns:ds="http://schemas.openxmlformats.org/officeDocument/2006/customXml" ds:itemID="{3A95B552-3FA7-471B-9091-1C082045775A}">
  <ds:schemaRefs/>
</ds:datastoreItem>
</file>

<file path=customXml/itemProps5.xml><?xml version="1.0" encoding="utf-8"?>
<ds:datastoreItem xmlns:ds="http://schemas.openxmlformats.org/officeDocument/2006/customXml" ds:itemID="{75F8D35A-71E9-4F42-9951-AA58BF2CFD34}">
  <ds:schemaRefs/>
</ds:datastoreItem>
</file>

<file path=customXml/itemProps6.xml><?xml version="1.0" encoding="utf-8"?>
<ds:datastoreItem xmlns:ds="http://schemas.openxmlformats.org/officeDocument/2006/customXml" ds:itemID="{EB62BDF5-330B-4D3C-B35A-825319BA00C8}">
  <ds:schemaRefs/>
</ds:datastoreItem>
</file>

<file path=customXml/itemProps7.xml><?xml version="1.0" encoding="utf-8"?>
<ds:datastoreItem xmlns:ds="http://schemas.openxmlformats.org/officeDocument/2006/customXml" ds:itemID="{12A9913F-CC9B-4129-AB57-BA8CCCE79081}">
  <ds:schemaRefs/>
</ds:datastoreItem>
</file>

<file path=customXml/itemProps8.xml><?xml version="1.0" encoding="utf-8"?>
<ds:datastoreItem xmlns:ds="http://schemas.openxmlformats.org/officeDocument/2006/customXml" ds:itemID="{24B2A50E-76BE-4F49-8615-EA9280A87444}">
  <ds:schemaRefs/>
</ds:datastoreItem>
</file>

<file path=customXml/itemProps9.xml><?xml version="1.0" encoding="utf-8"?>
<ds:datastoreItem xmlns:ds="http://schemas.openxmlformats.org/officeDocument/2006/customXml" ds:itemID="{344CBFAE-EC63-4147-AF86-287F26756DE0}">
  <ds:schemaRefs/>
</ds:datastoreItem>
</file>

<file path=docProps/app.xml><?xml version="1.0" encoding="utf-8"?>
<Properties xmlns="http://schemas.openxmlformats.org/officeDocument/2006/extended-properties" xmlns:vt="http://schemas.openxmlformats.org/officeDocument/2006/docPropsVTypes">
  <Template>Normal</Template>
  <Pages>29</Pages>
  <Words>2125</Words>
  <Characters>12119</Characters>
  <Lines>100</Lines>
  <Paragraphs>28</Paragraphs>
  <TotalTime>118</TotalTime>
  <ScaleCrop>false</ScaleCrop>
  <LinksUpToDate>false</LinksUpToDate>
  <CharactersWithSpaces>14216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2022-06-17T09:47:00Z</dcterms:created>
  <dc:creator>admin</dc:creator>
  <cp:lastModifiedBy>king</cp:lastModifiedBy>
  <dcterms:modified xsi:type="dcterms:W3CDTF">2023-11-07T03:13:54Z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227B07087F084A00AF6D78D9CFD89F1B_13</vt:lpwstr>
  </property>
</Properties>
</file>