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w:rPr>
          <w:rFonts w:ascii="Calibri" w:hAnsi="Calibri" w:eastAsia="宋体" w:cs="黑体"/>
          <w:kern w:val="2"/>
          <w:sz w:val="21"/>
          <w:szCs w:val="22"/>
          <w:lang w:val="en-US" w:eastAsia="zh-CN" w:bidi="ar-SA"/>
        </w:rPr>
        <w:pict>
          <v:rect id="_x0000_s1028" o:spid="_x0000_s1028" o:spt="1" style="position:absolute;left:0pt;margin-left:31.6pt;margin-top:625.4pt;height:41pt;width:454.95pt;z-index:251666432;mso-width-relative:page;mso-height-relative:page;" filled="f" stroked="f" coordsize="21600,21600">
            <v:path/>
            <v:fill on="f" focussize="0,0"/>
            <v:stroke on="f"/>
            <v:imagedata o:title=""/>
            <o:lock v:ext="edit" aspectratio="f"/>
            <v:textbox>
              <w:txbxContent>
                <w:p>
                  <w:pPr>
                    <w:spacing w:line="600" w:lineRule="auto"/>
                    <w:ind w:firstLine="2000" w:firstLineChars="500"/>
                    <w:jc w:val="both"/>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w:t>
                  </w:r>
                  <w:r>
                    <w:rPr>
                      <w:rFonts w:hint="eastAsia" w:ascii="楷体_GB2312" w:hAnsi="楷体_GB2312" w:eastAsia="楷体_GB2312" w:cs="楷体_GB2312"/>
                      <w:color w:val="000000"/>
                      <w:sz w:val="40"/>
                      <w:szCs w:val="40"/>
                      <w:lang w:eastAsia="zh-CN"/>
                    </w:rPr>
                    <w:t>三</w:t>
                  </w:r>
                  <w:r>
                    <w:rPr>
                      <w:rFonts w:hint="eastAsia" w:ascii="楷体_GB2312" w:hAnsi="楷体_GB2312" w:eastAsia="楷体_GB2312" w:cs="楷体_GB2312"/>
                      <w:color w:val="000000"/>
                      <w:sz w:val="40"/>
                      <w:szCs w:val="40"/>
                    </w:rPr>
                    <w:t>年</w:t>
                  </w:r>
                  <w:r>
                    <w:rPr>
                      <w:rFonts w:hint="eastAsia" w:ascii="楷体_GB2312" w:hAnsi="楷体_GB2312" w:eastAsia="楷体_GB2312" w:cs="楷体_GB2312"/>
                      <w:color w:val="000000"/>
                      <w:sz w:val="40"/>
                      <w:szCs w:val="40"/>
                      <w:highlight w:val="none"/>
                      <w:lang w:eastAsia="zh-CN"/>
                    </w:rPr>
                    <w:t>十一</w:t>
                  </w:r>
                  <w:r>
                    <w:rPr>
                      <w:rFonts w:hint="eastAsia" w:ascii="楷体_GB2312" w:hAnsi="楷体_GB2312" w:eastAsia="楷体_GB2312" w:cs="楷体_GB2312"/>
                      <w:color w:val="000000"/>
                      <w:sz w:val="40"/>
                      <w:szCs w:val="40"/>
                    </w:rPr>
                    <w:t>月</w:t>
                  </w:r>
                </w:p>
              </w:txbxContent>
            </v:textbox>
          </v:rect>
        </w:pict>
      </w:r>
      <w:r>
        <w:rPr>
          <w:rFonts w:hint="eastAsia" w:ascii="Calibri" w:hAnsi="Calibri" w:eastAsia="宋体" w:cs="黑体"/>
          <w:kern w:val="2"/>
          <w:sz w:val="21"/>
          <w:szCs w:val="22"/>
          <w:lang w:val="en-US" w:eastAsia="zh-CN" w:bidi="ar-SA"/>
        </w:rPr>
        <w:pict>
          <v:shape id="图片 9" o:spid="_x0000_s1026" o:spt="75" type="#_x0000_t75" style="position:absolute;left:0pt;margin-left:-2.55pt;margin-top:-4.75pt;height:48.05pt;width:48.05pt;mso-position-vertical-relative:margin;z-index:251664384;mso-width-relative:page;mso-height-relative:page;" fillcolor="#FFFFFF" filled="f" o:preferrelative="t" stroked="f" coordsize="21600,21600">
            <v:path/>
            <v:fill on="f" color2="#FFFFFF" focussize="0,0"/>
            <v:stroke on="f"/>
            <v:imagedata r:id="rId9" gain="65536f" blacklevel="0f" gamma="0" o:title=""/>
            <o:lock v:ext="edit" position="f" selection="f" grouping="f" rotation="f" cropping="f" text="f" aspectratio="t"/>
          </v:shape>
        </w:pict>
      </w:r>
      <w:r>
        <w:rPr>
          <w:rFonts w:ascii="Calibri" w:hAnsi="Calibri" w:eastAsia="宋体" w:cs="黑体"/>
          <w:kern w:val="2"/>
          <w:sz w:val="21"/>
          <w:szCs w:val="22"/>
          <w:lang w:val="en-US" w:eastAsia="zh-CN" w:bidi="ar-SA"/>
        </w:rPr>
        <w:pict>
          <v:shape id="背景 耗崽" o:spid="_x0000_s1027" o:spt="75" type="#_x0000_t75" style="position:absolute;left:0pt;margin-left:-205.35pt;margin-top:24.75pt;height:617.7pt;width:872.7pt;mso-position-horizontal-relative:margin;mso-position-vertical-relative:margin;rotation:-5898240f;z-index:251659264;mso-width-relative:page;mso-height-relative:page;" filled="f" o:preferrelative="t" stroked="f" coordsize="21600,21600">
            <v:path/>
            <v:fill on="f" focussize="0,0"/>
            <v:stroke on="f"/>
            <v:imagedata r:id="rId10" blacklevel="0f" o:title=""/>
            <o:lock v:ext="edit" aspectratio="t"/>
          </v:shape>
        </w:pict>
      </w:r>
      <w:r>
        <w:rPr>
          <w:rFonts w:ascii="Calibri" w:hAnsi="Calibri" w:eastAsia="宋体" w:cs="黑体"/>
          <w:kern w:val="2"/>
          <w:sz w:val="21"/>
          <w:szCs w:val="22"/>
          <w:lang w:val="en-US" w:eastAsia="zh-CN" w:bidi="ar-SA"/>
        </w:rPr>
        <w:pict>
          <v:rect id="文本框 2" o:spid="_x0000_s1029" o:spt="1" style="position:absolute;left:0pt;margin-left:23.2pt;margin-top:504.45pt;height:84pt;width:431.7pt;z-index:25166233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spacing w:line="600" w:lineRule="auto"/>
                    <w:jc w:val="left"/>
                    <w:rPr>
                      <w:rFonts w:hint="eastAsia"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438004</w:t>
                  </w:r>
                </w:p>
                <w:p>
                  <w:pPr>
                    <w:spacing w:line="600" w:lineRule="auto"/>
                    <w:jc w:val="left"/>
                    <w:rPr>
                      <w:rFonts w:hint="eastAsia" w:ascii="楷体_GB2312" w:hAnsi="楷体_GB2312" w:eastAsia="楷体_GB2312" w:cs="楷体_GB2312"/>
                      <w:color w:val="000000"/>
                      <w:sz w:val="40"/>
                      <w:szCs w:val="40"/>
                      <w:lang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eastAsia="zh-CN"/>
                    </w:rPr>
                    <w:t>保定市外事服务中心</w:t>
                  </w:r>
                </w:p>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：XXX</w:t>
                  </w:r>
                </w:p>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：XXX</w:t>
                  </w:r>
                </w:p>
              </w:txbxContent>
            </v:textbox>
          </v:rect>
        </w:pict>
      </w:r>
      <w:r>
        <w:rPr>
          <w:rFonts w:ascii="Calibri" w:hAnsi="Calibri" w:eastAsia="宋体" w:cs="黑体"/>
          <w:kern w:val="2"/>
          <w:sz w:val="21"/>
          <w:szCs w:val="22"/>
          <w:lang w:val="en-US" w:eastAsia="zh-CN" w:bidi="ar-SA"/>
        </w:rPr>
        <w:pict>
          <v:group id="组合 1029" o:spid="_x0000_s1030" o:spt="203" style="position:absolute;left:0pt;margin-left:-83pt;margin-top:196.75pt;height:274.95pt;width:613.65pt;z-index:251665408;mso-width-relative:page;mso-height-relative:page;" coordorigin="5240,6098" coordsize="12273,5500">
            <o:lock v:ext="edit" position="f" selection="f" grouping="f" rotation="f" cropping="f" text="f"/>
            <v:rect id="矩形 1030" o:spid="_x0000_s1031" o:spt="1" style="position:absolute;left:15245;top:6099;height:5499;width:2268;" fillcolor="#2E75B5" filled="t" o:preferrelative="t" stroked="f" coordsize="21600,21600">
              <v:path/>
              <v:fill on="t" focussize="0,0"/>
              <v:stroke on="f"/>
              <v:imagedata gain="65536f" blacklevel="0f" gamma="0" o:title=""/>
              <o:lock v:ext="edit" position="f" selection="f" grouping="f" rotation="f" cropping="f" text="f" aspectratio="f"/>
              <v:textbox>
                <w:txbxContent>
                  <w:p>
                    <w:pPr>
                      <w:jc w:val="center"/>
                    </w:pPr>
                  </w:p>
                </w:txbxContent>
              </v:textbox>
            </v:rect>
            <v:shape id="图片框 1031" o:spid="_x0000_s1032" o:spt="75" type="#_x0000_t75" style="position:absolute;left:5240;top:6098;height:5499;width:10027;" fillcolor="#FFFFFF" filled="f" o:preferrelative="t" stroked="f" coordsize="21600,21600">
              <v:path/>
              <v:fill on="f" color2="#FFFFFF" focussize="0,0"/>
              <v:stroke on="f"/>
              <v:imagedata r:id="rId11" gain="65536f" blacklevel="0f" gamma="0" o:title=""/>
              <o:lock v:ext="edit" position="f" selection="f" grouping="f" rotation="f" cropping="f" text="f" aspectratio="t"/>
            </v:shape>
          </v:group>
        </w:pict>
      </w:r>
      <w:r>
        <w:rPr>
          <w:rFonts w:ascii="Calibri" w:hAnsi="Calibri" w:eastAsia="宋体" w:cs="黑体"/>
          <w:kern w:val="2"/>
          <w:sz w:val="21"/>
          <w:szCs w:val="22"/>
          <w:lang w:val="en-US" w:eastAsia="zh-CN" w:bidi="ar-SA"/>
        </w:rPr>
        <w:pict>
          <v:rect id="文本框 33" o:spid="_x0000_s1033" o:spt="1" style="position:absolute;left:0pt;margin-left:-19.95pt;margin-top:126.9pt;height:44.9pt;width:432.6pt;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jc w:val="distribute"/>
                    <w:rPr>
                      <w:rFonts w:ascii="思源黑体 CN Heavy" w:hAnsi="思源黑体 CN Heavy" w:eastAsia="思源黑体 CN Heavy"/>
                      <w:color w:val="A5A5A5"/>
                      <w:kern w:val="0"/>
                      <w:sz w:val="40"/>
                      <w:szCs w:val="40"/>
                    </w:rPr>
                  </w:pPr>
                </w:p>
              </w:txbxContent>
            </v:textbox>
          </v:rect>
        </w:pict>
      </w:r>
      <w:r>
        <w:rPr>
          <w:rFonts w:ascii="Calibri" w:hAnsi="Calibri" w:eastAsia="宋体" w:cs="黑体"/>
          <w:kern w:val="2"/>
          <w:sz w:val="21"/>
          <w:szCs w:val="22"/>
          <w:lang w:val="en-US" w:eastAsia="zh-CN" w:bidi="ar-SA"/>
        </w:rPr>
        <w:pict>
          <v:group id="组合 1033" o:spid="_x0000_s1034" o:spt="203" style="position:absolute;left:0pt;margin-left:-22.1pt;margin-top:55.15pt;height:68.65pt;width:451.7pt;z-index:251663360;mso-width-relative:page;mso-height-relative:page;" coordorigin="6119,3077" coordsize="9034,1373">
            <o:lock v:ext="edit" position="f" selection="f" grouping="f" rotation="f" cropping="f" text="f" aspectratio="f"/>
            <v:rect id="矩形 1034" o:spid="_x0000_s1035" o:spt="1" style="position:absolute;left:6119;top:3077;height:1187;width:9034;"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lang w:eastAsia="zh-CN"/>
                      </w:rPr>
                      <w:t>单位</w:t>
                    </w:r>
                    <w:r>
                      <w:rPr>
                        <w:rFonts w:hint="eastAsia" w:ascii="思源黑体 CN Bold" w:hAnsi="思源黑体 CN Bold" w:eastAsia="思源黑体 CN Bold"/>
                        <w:b/>
                        <w:bCs/>
                        <w:color w:val="002060"/>
                        <w:spacing w:val="60"/>
                        <w:kern w:val="24"/>
                        <w:sz w:val="96"/>
                        <w:szCs w:val="96"/>
                      </w:rPr>
                      <w:t>决算公开文本</w:t>
                    </w:r>
                  </w:p>
                </w:txbxContent>
              </v:textbox>
            </v:rect>
            <v:line id="直线 1035" o:spid="_x0000_s1036" o:spt="20" style="position:absolute;left:6226;top:4450;height:0;width:8700;" fillcolor="#FFFFFF" filled="f" o:preferrelative="t" stroked="t" coordsize="21600,21600">
              <v:path arrowok="t"/>
              <v:fill on="f" color2="#FFFFFF" focussize="0,0"/>
              <v:stroke weight="2.25pt" color="#42719B" color2="#FFFFFF" opacity="65536f" miterlimit="2" dashstyle="1 1"/>
              <v:imagedata gain="65536f" blacklevel="0f" gamma="0" o:title=""/>
              <o:lock v:ext="edit" position="f" selection="f" grouping="f" rotation="f" cropping="f" text="f" aspectratio="f"/>
            </v:line>
          </v:group>
        </w:pict>
      </w:r>
      <w:r>
        <w:rPr>
          <w:rFonts w:ascii="Calibri" w:hAnsi="Calibri" w:eastAsia="宋体" w:cs="黑体"/>
          <w:kern w:val="2"/>
          <w:sz w:val="21"/>
          <w:szCs w:val="22"/>
          <w:lang w:val="en-US" w:eastAsia="zh-CN" w:bidi="ar-SA"/>
        </w:rPr>
        <w:pict>
          <v:rect id="文本框 32" o:spid="_x0000_s1037" o:spt="1" style="position:absolute;left:0pt;margin-left:39.25pt;margin-top:-19.3pt;height:62.05pt;width:223.1pt;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v:textbox>
          </v:rect>
        </w:pict>
      </w:r>
      <w:r>
        <w:rPr>
          <w:rFonts w:hint="eastAsia"/>
        </w:rPr>
        <w:t>1</w:t>
      </w:r>
      <w:r>
        <w:br w:type="page"/>
      </w:r>
    </w:p>
    <w:p>
      <w:pPr>
        <w:rPr>
          <w:rFonts w:ascii="黑体" w:hAnsi="黑体" w:eastAsia="黑体" w:cs="黑体"/>
          <w:b/>
          <w:bCs/>
          <w:sz w:val="72"/>
          <w:szCs w:val="96"/>
        </w:rPr>
      </w:pPr>
    </w:p>
    <w:p>
      <w:pPr>
        <w:rPr>
          <w:rFonts w:ascii="黑体" w:hAnsi="黑体" w:eastAsia="黑体" w:cs="黑体"/>
          <w:b/>
          <w:bCs/>
          <w:sz w:val="72"/>
          <w:szCs w:val="96"/>
        </w:rPr>
      </w:pPr>
    </w:p>
    <w:p>
      <w:pPr>
        <w:tabs>
          <w:tab w:val="left" w:pos="2728"/>
        </w:tabs>
        <w:jc w:val="both"/>
        <w:rPr>
          <w:rFonts w:ascii="黑体" w:hAnsi="Times New Roman" w:eastAsia="黑体" w:cs="Times New Roman"/>
          <w:sz w:val="48"/>
          <w:szCs w:val="48"/>
        </w:rPr>
      </w:pPr>
      <w:bookmarkStart w:id="0" w:name="_GoBack"/>
      <w:bookmarkEnd w:id="0"/>
      <w:r>
        <w:rPr>
          <w:rFonts w:hint="eastAsia" w:ascii="黑体" w:hAnsi="Times New Roman" w:eastAsia="黑体" w:cs="Times New Roman"/>
          <w:kern w:val="2"/>
          <w:sz w:val="48"/>
          <w:szCs w:val="48"/>
          <w:lang w:val="en-US" w:eastAsia="zh-CN" w:bidi="ar-SA"/>
        </w:rPr>
        <w:pict>
          <v:shape id="图片 71" o:spid="_x0000_s1040" o:spt="75" type="#_x0000_t75" style="position:absolute;left:0pt;margin-left:101.05pt;margin-top:20.4pt;height:50.35pt;width:50.35pt;mso-position-vertical-relative:margin;z-index:251670528;mso-width-relative:page;mso-height-relative:page;" fillcolor="#FFFFFF" filled="f" o:preferrelative="t" stroked="f" coordsize="21600,21600">
            <v:path/>
            <v:fill on="f" color2="#FFFFFF" focussize="0,0"/>
            <v:stroke on="f"/>
            <v:imagedata r:id="rId12" gain="65536f" blacklevel="0f" gamma="0" o:title=""/>
            <o:lock v:ext="edit" position="f" selection="f" grouping="f" rotation="f" cropping="f" text="f" aspectratio="t"/>
          </v:shape>
        </w:pict>
      </w: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2022年</w:t>
      </w:r>
      <w:r>
        <w:rPr>
          <w:rFonts w:ascii="Times New Roman" w:hAnsi="Times New Roman" w:eastAsia="黑体" w:cs="Times New Roman"/>
          <w:sz w:val="32"/>
          <w:szCs w:val="32"/>
        </w:rPr>
        <w:t>度</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决算报表</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五、一般公共预算财政拨款支出决算表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六、一般公共预算财政拨款基本支出决算明细表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七、政府性基金预算财政拨款收入支出决算表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国有资本经营预算财政拨款支出决算表</w:t>
      </w:r>
    </w:p>
    <w:p>
      <w:pPr>
        <w:widowControl/>
        <w:spacing w:after="160" w:line="580" w:lineRule="exact"/>
        <w:ind w:left="640" w:firstLine="640" w:firstLineChars="200"/>
        <w:rPr>
          <w:rFonts w:ascii="Times New Roman" w:hAnsi="Times New Roman" w:eastAsia="仿宋_GB2312" w:cs="Times New Roman"/>
          <w:sz w:val="20"/>
          <w:szCs w:val="32"/>
        </w:rPr>
      </w:pPr>
      <w:r>
        <w:rPr>
          <w:rFonts w:hint="eastAsia" w:ascii="Times New Roman" w:hAnsi="Times New Roman" w:eastAsia="仿宋_GB2312" w:cs="Times New Roman"/>
          <w:sz w:val="32"/>
          <w:szCs w:val="32"/>
        </w:rPr>
        <w:t>九、财政拨款“三公”经费支出决算表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2022年度</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五、财政拨款“三公”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六、机关运行经费支出说明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七、政府采购支出说明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八、国有资产占用情况说明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pgSz w:w="11906" w:h="16838"/>
          <w:pgMar w:top="1474" w:right="1531" w:bottom="1474" w:left="1531" w:header="851" w:footer="992" w:gutter="0"/>
          <w:cols w:space="720" w:num="1"/>
          <w:titlePg/>
          <w:docGrid w:type="lines" w:linePitch="312" w:charSpace="0"/>
        </w:sectPr>
      </w:pPr>
    </w:p>
    <w:p>
      <w:pPr>
        <w:widowControl/>
        <w:jc w:val="center"/>
        <w:rPr>
          <w:rFonts w:ascii="黑体" w:hAnsi="黑体" w:eastAsia="黑体" w:cs="黑体"/>
          <w:color w:val="000000"/>
          <w:sz w:val="48"/>
          <w:szCs w:val="48"/>
        </w:rPr>
      </w:pPr>
    </w:p>
    <w:p>
      <w:pPr>
        <w:widowControl/>
        <w:jc w:val="center"/>
        <w:rPr>
          <w:rFonts w:ascii="黑体" w:hAnsi="黑体" w:eastAsia="黑体" w:cs="黑体"/>
          <w:color w:val="000000"/>
          <w:sz w:val="48"/>
          <w:szCs w:val="48"/>
        </w:rPr>
      </w:pPr>
    </w:p>
    <w:p>
      <w:pPr>
        <w:widowControl/>
        <w:jc w:val="center"/>
        <w:rPr>
          <w:rFonts w:ascii="黑体" w:hAnsi="黑体" w:eastAsia="黑体" w:cs="黑体"/>
          <w:color w:val="000000"/>
          <w:sz w:val="48"/>
          <w:szCs w:val="48"/>
        </w:rPr>
      </w:pPr>
    </w:p>
    <w:p>
      <w:pPr>
        <w:widowControl/>
        <w:jc w:val="center"/>
        <w:rPr>
          <w:rFonts w:ascii="黑体" w:hAnsi="黑体" w:eastAsia="黑体" w:cs="黑体"/>
          <w:color w:val="000000"/>
          <w:sz w:val="48"/>
          <w:szCs w:val="48"/>
        </w:rPr>
      </w:pPr>
    </w:p>
    <w:p>
      <w:pPr>
        <w:widowControl/>
        <w:jc w:val="center"/>
        <w:rPr>
          <w:rFonts w:ascii="黑体" w:hAnsi="黑体" w:eastAsia="黑体" w:cs="黑体"/>
          <w:color w:val="000000"/>
          <w:sz w:val="48"/>
          <w:szCs w:val="48"/>
        </w:rPr>
      </w:pPr>
      <w:r>
        <w:rPr>
          <w:rFonts w:ascii="Calibri" w:hAnsi="Calibri" w:eastAsia="宋体" w:cs="黑体"/>
          <w:kern w:val="2"/>
          <w:sz w:val="32"/>
          <w:szCs w:val="22"/>
          <w:lang w:val="en-US" w:eastAsia="zh-CN" w:bidi="ar-SA"/>
        </w:rPr>
        <w:pict>
          <v:shape id="图片 67" o:spid="_x0000_s1041" o:spt="75" type="#_x0000_t75" style="position:absolute;left:0pt;margin-left:54.2pt;margin-top:139.7pt;height:58.25pt;width:58.25pt;mso-position-vertical-relative:margin;z-index:251668480;mso-width-relative:page;mso-height-relative:page;" fillcolor="#FFFFFF" filled="f" o:preferrelative="t" stroked="f" coordsize="21600,21600">
            <v:path/>
            <v:fill on="f" color2="#FFFFFF" focussize="0,0"/>
            <v:stroke on="f"/>
            <v:imagedata r:id="rId13" gain="65536f" blacklevel="0f" gamma="0" o:title=""/>
            <o:lock v:ext="edit" position="f" selection="f" grouping="f" rotation="f" cropping="f" text="f" aspectratio="t"/>
          </v:shape>
        </w:pict>
      </w:r>
    </w:p>
    <w:p>
      <w:pPr>
        <w:widowControl/>
        <w:jc w:val="center"/>
        <w:rPr>
          <w:rFonts w:ascii="黑体" w:hAnsi="黑体" w:eastAsia="黑体" w:cs="黑体"/>
          <w:color w:val="000000"/>
          <w:sz w:val="44"/>
          <w:szCs w:val="44"/>
        </w:rPr>
      </w:pPr>
      <w:r>
        <w:rPr>
          <w:rFonts w:hint="eastAsia" w:ascii="黑体" w:hAnsi="黑体" w:eastAsia="黑体" w:cs="黑体"/>
          <w:color w:val="000000"/>
          <w:sz w:val="44"/>
          <w:szCs w:val="44"/>
        </w:rPr>
        <w:t xml:space="preserve"> 第一部分  </w:t>
      </w:r>
      <w:r>
        <w:rPr>
          <w:rFonts w:hint="eastAsia" w:ascii="黑体" w:hAnsi="黑体" w:eastAsia="黑体" w:cs="黑体"/>
          <w:color w:val="000000"/>
          <w:sz w:val="44"/>
          <w:szCs w:val="44"/>
          <w:lang w:eastAsia="zh-CN"/>
        </w:rPr>
        <w:t>单位</w:t>
      </w:r>
      <w:r>
        <w:rPr>
          <w:rFonts w:hint="eastAsia" w:ascii="黑体" w:hAnsi="黑体" w:eastAsia="黑体" w:cs="黑体"/>
          <w:color w:val="000000"/>
          <w:sz w:val="44"/>
          <w:szCs w:val="44"/>
        </w:rPr>
        <w:t>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2"/>
        <w:numPr>
          <w:ilvl w:val="0"/>
          <w:numId w:val="1"/>
        </w:numPr>
        <w:spacing w:before="0" w:after="0" w:line="580" w:lineRule="exact"/>
        <w:ind w:firstLine="640" w:firstLineChars="200"/>
        <w:jc w:val="left"/>
        <w:rPr>
          <w:rFonts w:hint="eastAsia" w:ascii="黑体" w:eastAsia="黑体" w:cs="黑体"/>
          <w:b w:val="0"/>
          <w:bCs w:val="0"/>
          <w:kern w:val="0"/>
          <w:sz w:val="32"/>
          <w:szCs w:val="32"/>
        </w:rPr>
      </w:pPr>
      <w:r>
        <w:rPr>
          <w:rFonts w:hint="eastAsia" w:ascii="黑体" w:eastAsia="黑体" w:cs="黑体"/>
          <w:b w:val="0"/>
          <w:bCs w:val="0"/>
          <w:kern w:val="0"/>
          <w:sz w:val="32"/>
          <w:szCs w:val="32"/>
          <w:lang w:eastAsia="zh-CN"/>
        </w:rPr>
        <w:t>单位</w:t>
      </w:r>
      <w:r>
        <w:rPr>
          <w:rFonts w:hint="eastAsia" w:ascii="黑体" w:eastAsia="黑体" w:cs="黑体"/>
          <w:b w:val="0"/>
          <w:bCs w:val="0"/>
          <w:kern w:val="0"/>
          <w:sz w:val="32"/>
          <w:szCs w:val="32"/>
        </w:rPr>
        <w:t>职责</w:t>
      </w:r>
    </w:p>
    <w:p>
      <w:pPr>
        <w:spacing w:line="580" w:lineRule="exact"/>
        <w:ind w:firstLine="640" w:firstLineChars="200"/>
        <w:rPr>
          <w:rFonts w:hint="eastAsia" w:ascii="仿宋_GB2312" w:hAnsi="Calibri" w:eastAsia="仿宋_GB2312" w:cs="ArialUnicodeMS"/>
          <w:kern w:val="0"/>
          <w:sz w:val="32"/>
          <w:szCs w:val="32"/>
          <w:lang w:eastAsia="zh-CN"/>
        </w:rPr>
      </w:pPr>
      <w:r>
        <w:rPr>
          <w:rFonts w:hint="eastAsia" w:ascii="仿宋_GB2312" w:hAnsi="Calibri" w:eastAsia="仿宋_GB2312" w:cs="ArialUnicodeMS"/>
          <w:kern w:val="0"/>
          <w:sz w:val="32"/>
          <w:szCs w:val="32"/>
          <w:lang w:eastAsia="zh-CN"/>
        </w:rPr>
        <w:t>为开展对外交流与合作提供服务，代办出国（境）手续。</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从决算编报单位构成看，纳入2022年度本</w:t>
      </w:r>
      <w:r>
        <w:rPr>
          <w:rFonts w:hint="eastAsia" w:ascii="仿宋_GB2312" w:eastAsia="仿宋_GB2312" w:cs="ArialUnicodeMS"/>
          <w:kern w:val="0"/>
          <w:sz w:val="32"/>
          <w:szCs w:val="32"/>
          <w:lang w:eastAsia="zh-CN"/>
        </w:rPr>
        <w:t>单位</w:t>
      </w:r>
      <w:r>
        <w:rPr>
          <w:rFonts w:hint="eastAsia" w:ascii="仿宋_GB2312" w:hAnsi="Calibri" w:eastAsia="仿宋_GB2312" w:cs="ArialUnicodeMS"/>
          <w:kern w:val="0"/>
          <w:sz w:val="32"/>
          <w:szCs w:val="32"/>
        </w:rPr>
        <w:t>决算汇编范围的独立核算单位（以下简称“单位”）共</w:t>
      </w:r>
      <w:r>
        <w:rPr>
          <w:rFonts w:hint="eastAsia" w:ascii="仿宋_GB2312" w:eastAsia="仿宋_GB2312" w:cs="ArialUnicodeMS"/>
          <w:kern w:val="0"/>
          <w:sz w:val="32"/>
          <w:szCs w:val="32"/>
          <w:lang w:val="en-US" w:eastAsia="zh-CN"/>
        </w:rPr>
        <w:t>1</w:t>
      </w:r>
      <w:r>
        <w:rPr>
          <w:rFonts w:hint="eastAsia" w:ascii="仿宋_GB2312" w:hAnsi="Calibri" w:eastAsia="仿宋_GB2312" w:cs="ArialUnicodeMS"/>
          <w:kern w:val="0"/>
          <w:sz w:val="32"/>
          <w:szCs w:val="32"/>
        </w:rPr>
        <w:t>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143"/>
        <w:gridCol w:w="2787"/>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143"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787"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vAlign w:val="top"/>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143" w:type="dxa"/>
            <w:vAlign w:val="top"/>
          </w:tcPr>
          <w:p>
            <w:pPr>
              <w:spacing w:line="560" w:lineRule="exact"/>
              <w:rPr>
                <w:rFonts w:hint="eastAsia" w:ascii="仿宋_GB2312" w:hAnsi="Calibri" w:eastAsia="仿宋_GB2312" w:cs="ArialUnicodeMS"/>
                <w:kern w:val="0"/>
                <w:sz w:val="28"/>
                <w:szCs w:val="28"/>
                <w:lang w:eastAsia="zh-CN"/>
              </w:rPr>
            </w:pPr>
            <w:r>
              <w:rPr>
                <w:rFonts w:hint="eastAsia" w:ascii="仿宋_GB2312" w:eastAsia="仿宋_GB2312" w:cs="ArialUnicodeMS"/>
                <w:kern w:val="0"/>
                <w:sz w:val="28"/>
                <w:szCs w:val="28"/>
                <w:lang w:eastAsia="zh-CN"/>
              </w:rPr>
              <w:t>保定市外事服务中心</w:t>
            </w:r>
          </w:p>
        </w:tc>
        <w:tc>
          <w:tcPr>
            <w:tcW w:w="2787" w:type="dxa"/>
            <w:vAlign w:val="top"/>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eastAsia="仿宋_GB2312" w:cs="ArialUnicodeMS"/>
                <w:kern w:val="0"/>
                <w:sz w:val="28"/>
                <w:szCs w:val="28"/>
                <w:lang w:eastAsia="zh-CN"/>
              </w:rPr>
              <w:t>经费自理事业单位</w:t>
            </w:r>
          </w:p>
        </w:tc>
        <w:tc>
          <w:tcPr>
            <w:tcW w:w="2665" w:type="dxa"/>
            <w:vAlign w:val="top"/>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eastAsia="仿宋_GB2312" w:cs="ArialUnicodeMS"/>
                <w:kern w:val="0"/>
                <w:sz w:val="28"/>
                <w:szCs w:val="28"/>
                <w:lang w:eastAsia="zh-CN"/>
              </w:rPr>
              <w:t>财政性资金零补助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vAlign w:val="top"/>
          </w:tcPr>
          <w:p>
            <w:pPr>
              <w:spacing w:line="560" w:lineRule="exact"/>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2、经费形式分为财政拨款、财政性资金基本保证、财政性资金定额或定项补助、财政性资金零补助四类。</w:t>
            </w:r>
          </w:p>
        </w:tc>
      </w:tr>
    </w:tbl>
    <w:p>
      <w:pPr>
        <w:widowControl/>
        <w:spacing w:after="160" w:line="580" w:lineRule="exact"/>
        <w:ind w:firstLine="880" w:firstLineChars="200"/>
        <w:rPr>
          <w:rFonts w:ascii="黑体" w:hAnsi="黑体" w:eastAsia="黑体" w:cs="黑体"/>
          <w:color w:val="000000"/>
          <w:sz w:val="44"/>
          <w:szCs w:val="44"/>
        </w:rPr>
      </w:pPr>
    </w:p>
    <w:p>
      <w:pPr>
        <w:widowControl/>
        <w:spacing w:after="160" w:line="580" w:lineRule="exact"/>
        <w:ind w:firstLine="880" w:firstLineChars="200"/>
        <w:rPr>
          <w:rFonts w:ascii="黑体" w:hAnsi="黑体" w:eastAsia="黑体" w:cs="黑体"/>
          <w:color w:val="000000"/>
          <w:sz w:val="44"/>
          <w:szCs w:val="44"/>
        </w:rPr>
      </w:pPr>
    </w:p>
    <w:p>
      <w:pPr>
        <w:widowControl/>
        <w:spacing w:after="160" w:line="580" w:lineRule="exact"/>
        <w:ind w:firstLine="880" w:firstLineChars="200"/>
        <w:rPr>
          <w:rFonts w:ascii="黑体" w:hAnsi="黑体" w:eastAsia="黑体" w:cs="黑体"/>
          <w:color w:val="000000"/>
          <w:sz w:val="44"/>
          <w:szCs w:val="44"/>
        </w:rPr>
      </w:pPr>
    </w:p>
    <w:p>
      <w:pPr>
        <w:widowControl/>
        <w:spacing w:after="160" w:line="580" w:lineRule="exact"/>
        <w:ind w:firstLine="880" w:firstLineChars="200"/>
        <w:rPr>
          <w:rFonts w:ascii="黑体" w:hAnsi="黑体" w:eastAsia="黑体" w:cs="黑体"/>
          <w:color w:val="000000"/>
          <w:sz w:val="44"/>
          <w:szCs w:val="44"/>
        </w:rPr>
      </w:pPr>
    </w:p>
    <w:p>
      <w:pPr>
        <w:widowControl/>
        <w:spacing w:after="160" w:line="580" w:lineRule="exact"/>
        <w:ind w:firstLine="880" w:firstLineChars="200"/>
        <w:rPr>
          <w:rFonts w:ascii="黑体" w:hAnsi="黑体" w:eastAsia="黑体" w:cs="黑体"/>
          <w:color w:val="000000"/>
          <w:sz w:val="44"/>
          <w:szCs w:val="44"/>
        </w:rPr>
      </w:pPr>
    </w:p>
    <w:p>
      <w:pPr>
        <w:widowControl/>
        <w:spacing w:after="160" w:line="580" w:lineRule="exact"/>
        <w:ind w:firstLine="880" w:firstLineChars="200"/>
        <w:rPr>
          <w:rFonts w:ascii="黑体" w:hAnsi="黑体" w:eastAsia="黑体" w:cs="黑体"/>
          <w:color w:val="000000"/>
          <w:sz w:val="44"/>
          <w:szCs w:val="44"/>
        </w:rPr>
      </w:pPr>
    </w:p>
    <w:p>
      <w:pPr>
        <w:widowControl/>
        <w:spacing w:after="160" w:line="580" w:lineRule="exact"/>
        <w:ind w:firstLine="880" w:firstLineChars="200"/>
        <w:rPr>
          <w:rFonts w:ascii="黑体" w:hAnsi="黑体" w:eastAsia="黑体" w:cs="黑体"/>
          <w:color w:val="000000"/>
          <w:sz w:val="44"/>
          <w:szCs w:val="44"/>
        </w:rPr>
      </w:pPr>
    </w:p>
    <w:p>
      <w:pPr>
        <w:widowControl/>
        <w:spacing w:after="160" w:line="580" w:lineRule="exact"/>
        <w:ind w:firstLine="880" w:firstLineChars="200"/>
        <w:rPr>
          <w:rFonts w:ascii="黑体" w:hAnsi="黑体" w:eastAsia="黑体" w:cs="黑体"/>
          <w:color w:val="000000"/>
          <w:sz w:val="44"/>
          <w:szCs w:val="44"/>
        </w:rPr>
      </w:pPr>
    </w:p>
    <w:p>
      <w:pPr>
        <w:widowControl/>
        <w:spacing w:after="160" w:line="580" w:lineRule="exact"/>
        <w:ind w:firstLine="880" w:firstLineChars="200"/>
        <w:rPr>
          <w:rFonts w:hint="eastAsia" w:ascii="黑体" w:hAnsi="黑体" w:eastAsia="黑体" w:cs="黑体"/>
          <w:color w:val="000000"/>
          <w:sz w:val="44"/>
          <w:szCs w:val="44"/>
        </w:rPr>
      </w:pPr>
      <w:r>
        <w:rPr>
          <w:rFonts w:hint="eastAsia" w:ascii="黑体" w:hAnsi="黑体" w:eastAsia="黑体" w:cs="黑体"/>
          <w:color w:val="000000"/>
          <w:sz w:val="44"/>
          <w:szCs w:val="44"/>
        </w:rPr>
        <w:t xml:space="preserve">    </w:t>
      </w:r>
    </w:p>
    <w:p>
      <w:pPr>
        <w:widowControl/>
        <w:spacing w:after="160" w:line="580" w:lineRule="exact"/>
        <w:ind w:firstLine="880" w:firstLineChars="200"/>
        <w:rPr>
          <w:rFonts w:hint="eastAsia" w:ascii="黑体" w:hAnsi="黑体" w:eastAsia="黑体" w:cs="黑体"/>
          <w:color w:val="000000"/>
          <w:sz w:val="44"/>
          <w:szCs w:val="44"/>
        </w:rPr>
      </w:pPr>
    </w:p>
    <w:p>
      <w:pPr>
        <w:widowControl/>
        <w:spacing w:after="160" w:line="580" w:lineRule="exact"/>
        <w:ind w:firstLine="880" w:firstLineChars="200"/>
        <w:rPr>
          <w:rFonts w:hint="eastAsia" w:ascii="黑体" w:hAnsi="黑体" w:eastAsia="黑体" w:cs="黑体"/>
          <w:color w:val="000000"/>
          <w:sz w:val="44"/>
          <w:szCs w:val="44"/>
        </w:rPr>
      </w:pPr>
    </w:p>
    <w:p>
      <w:pPr>
        <w:widowControl/>
        <w:spacing w:after="160" w:line="580" w:lineRule="exact"/>
        <w:ind w:firstLine="880" w:firstLineChars="200"/>
        <w:rPr>
          <w:rFonts w:hint="eastAsia" w:ascii="黑体" w:hAnsi="黑体" w:eastAsia="黑体" w:cs="黑体"/>
          <w:color w:val="000000"/>
          <w:sz w:val="44"/>
          <w:szCs w:val="44"/>
        </w:rPr>
      </w:pPr>
    </w:p>
    <w:p>
      <w:pPr>
        <w:widowControl/>
        <w:spacing w:after="160" w:line="580" w:lineRule="exact"/>
        <w:ind w:firstLine="880" w:firstLineChars="200"/>
        <w:rPr>
          <w:rFonts w:hint="eastAsia" w:ascii="黑体" w:hAnsi="黑体" w:eastAsia="黑体" w:cs="黑体"/>
          <w:color w:val="000000"/>
          <w:sz w:val="44"/>
          <w:szCs w:val="44"/>
        </w:rPr>
      </w:pPr>
    </w:p>
    <w:p>
      <w:pPr>
        <w:widowControl/>
        <w:spacing w:after="160" w:line="580" w:lineRule="exact"/>
        <w:ind w:firstLine="880" w:firstLineChars="200"/>
        <w:rPr>
          <w:rFonts w:hint="eastAsia" w:ascii="黑体" w:hAnsi="黑体" w:eastAsia="黑体" w:cs="黑体"/>
          <w:color w:val="000000"/>
          <w:sz w:val="44"/>
          <w:szCs w:val="44"/>
        </w:rPr>
      </w:pPr>
    </w:p>
    <w:p>
      <w:pPr>
        <w:widowControl/>
        <w:spacing w:after="160" w:line="580" w:lineRule="exact"/>
        <w:ind w:firstLine="640" w:firstLineChars="200"/>
        <w:rPr>
          <w:rFonts w:hint="eastAsia" w:ascii="黑体" w:hAnsi="黑体" w:eastAsia="黑体" w:cs="黑体"/>
          <w:color w:val="000000"/>
          <w:sz w:val="44"/>
          <w:szCs w:val="44"/>
        </w:rPr>
      </w:pPr>
      <w:r>
        <w:rPr>
          <w:rFonts w:hint="eastAsia" w:ascii="Times New Roman" w:hAnsi="Times New Roman" w:eastAsia="黑体" w:cs="Times New Roman"/>
          <w:kern w:val="2"/>
          <w:sz w:val="32"/>
          <w:szCs w:val="32"/>
          <w:lang w:val="en-US" w:eastAsia="zh-CN" w:bidi="ar-SA"/>
        </w:rPr>
        <w:pict>
          <v:shape id="图片 70" o:spid="_x0000_s1042" o:spt="75" type="#_x0000_t75" style="position:absolute;left:0pt;margin-left:39.5pt;margin-top:244.4pt;height:45.6pt;width:45.6pt;mso-position-vertical-relative:margin;z-index:251669504;mso-width-relative:page;mso-height-relative:page;" filled="f" o:preferrelative="t" stroked="f" coordsize="21600,21600">
            <v:path/>
            <v:fill on="f" focussize="0,0"/>
            <v:stroke on="f"/>
            <v:imagedata r:id="rId14" blacklevel="0f" o:title=""/>
            <o:lock v:ext="edit" aspectratio="t"/>
          </v:shape>
        </w:pict>
      </w:r>
    </w:p>
    <w:p>
      <w:pPr>
        <w:widowControl/>
        <w:spacing w:after="160" w:line="580" w:lineRule="exact"/>
        <w:ind w:firstLine="1760" w:firstLineChars="400"/>
        <w:rPr>
          <w:rFonts w:ascii="黑体" w:hAnsi="黑体" w:eastAsia="黑体" w:cs="黑体"/>
          <w:color w:val="000000"/>
          <w:sz w:val="44"/>
          <w:szCs w:val="44"/>
        </w:rPr>
        <w:sectPr>
          <w:headerReference r:id="rId7" w:type="default"/>
          <w:pgSz w:w="11906" w:h="16838"/>
          <w:pgMar w:top="2041" w:right="1531" w:bottom="1774" w:left="1531" w:header="851" w:footer="992" w:gutter="0"/>
          <w:pgNumType w:fmt="numberInDash"/>
          <w:cols w:space="720" w:num="1"/>
          <w:titlePg/>
          <w:docGrid w:type="lines" w:linePitch="312" w:charSpace="0"/>
        </w:sectPr>
      </w:pPr>
      <w:r>
        <w:rPr>
          <w:rFonts w:hint="eastAsia" w:ascii="黑体" w:hAnsi="黑体" w:eastAsia="黑体" w:cs="黑体"/>
          <w:color w:val="000000"/>
          <w:sz w:val="44"/>
          <w:szCs w:val="44"/>
        </w:rPr>
        <w:t>第二部分  2022年度</w:t>
      </w:r>
      <w:r>
        <w:rPr>
          <w:rFonts w:hint="eastAsia" w:ascii="黑体" w:hAnsi="黑体" w:eastAsia="黑体" w:cs="黑体"/>
          <w:color w:val="000000"/>
          <w:sz w:val="44"/>
          <w:szCs w:val="44"/>
          <w:lang w:eastAsia="zh-CN"/>
        </w:rPr>
        <w:t>单位</w:t>
      </w:r>
      <w:r>
        <w:rPr>
          <w:rFonts w:hint="eastAsia" w:ascii="黑体" w:hAnsi="黑体" w:eastAsia="黑体" w:cs="黑体"/>
          <w:color w:val="000000"/>
          <w:sz w:val="44"/>
          <w:szCs w:val="44"/>
        </w:rPr>
        <w:t>决算表</w:t>
      </w:r>
    </w:p>
    <w:tbl>
      <w:tblPr>
        <w:tblStyle w:val="6"/>
        <w:tblW w:w="167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648"/>
        <w:gridCol w:w="381"/>
        <w:gridCol w:w="182"/>
        <w:gridCol w:w="214"/>
        <w:gridCol w:w="1192"/>
        <w:gridCol w:w="3431"/>
        <w:gridCol w:w="525"/>
        <w:gridCol w:w="61"/>
        <w:gridCol w:w="1083"/>
        <w:gridCol w:w="1708"/>
        <w:gridCol w:w="1891"/>
        <w:gridCol w:w="240"/>
        <w:gridCol w:w="22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7163" w:type="dxa"/>
          <w:trHeight w:val="360" w:hRule="atLeast"/>
        </w:trPr>
        <w:tc>
          <w:tcPr>
            <w:tcW w:w="9634" w:type="dxa"/>
            <w:gridSpan w:val="8"/>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 xml:space="preserve">         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41" w:type="dxa"/>
          <w:trHeight w:val="196" w:hRule="atLeast"/>
        </w:trPr>
        <w:tc>
          <w:tcPr>
            <w:tcW w:w="4029" w:type="dxa"/>
            <w:gridSpan w:val="2"/>
            <w:shd w:val="clear" w:color="auto" w:fill="FFFFFF"/>
            <w:vAlign w:val="center"/>
          </w:tcPr>
          <w:p>
            <w:pPr>
              <w:jc w:val="right"/>
              <w:rPr>
                <w:rFonts w:ascii="宋体" w:hAnsi="宋体" w:eastAsia="宋体" w:cs="宋体"/>
                <w:color w:val="000000"/>
                <w:sz w:val="24"/>
              </w:rPr>
            </w:pP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rPr>
              <w:t xml:space="preserve">                       公开01表</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41" w:type="dxa"/>
          <w:trHeight w:val="301" w:hRule="atLeast"/>
        </w:trPr>
        <w:tc>
          <w:tcPr>
            <w:tcW w:w="4029" w:type="dxa"/>
            <w:gridSpan w:val="2"/>
            <w:shd w:val="clear" w:color="auto" w:fill="FFFFFF"/>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eastAsia="zh-CN"/>
              </w:rPr>
              <w:t>单位</w:t>
            </w:r>
            <w:r>
              <w:rPr>
                <w:rFonts w:hint="eastAsia" w:ascii="宋体" w:hAnsi="宋体" w:eastAsia="宋体" w:cs="宋体"/>
                <w:color w:val="000000"/>
                <w:kern w:val="0"/>
                <w:sz w:val="20"/>
                <w:szCs w:val="20"/>
              </w:rPr>
              <w:t>：</w:t>
            </w:r>
            <w:r>
              <w:rPr>
                <w:rFonts w:hint="eastAsia" w:ascii="宋体" w:hAnsi="宋体" w:cs="宋体"/>
                <w:color w:val="000000"/>
                <w:kern w:val="0"/>
                <w:sz w:val="20"/>
                <w:szCs w:val="20"/>
                <w:lang w:eastAsia="zh-CN"/>
              </w:rPr>
              <w:t>保定外事服务中心</w:t>
            </w: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 xml:space="preserve"> 2022年度</w:t>
            </w: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rPr>
              <w:t xml:space="preserve">                       单位：万元</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56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收入</w:t>
            </w:r>
          </w:p>
        </w:tc>
        <w:tc>
          <w:tcPr>
            <w:tcW w:w="510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决算数</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    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    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一、一般公共预算财政拨款收入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88.37</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32</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88.37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二、政府性基金预算财政拨款收入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二、外交支出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33</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三、国有资本经营预算财政拨款收入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三、国防支出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34</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四、上级补助收入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35</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五、事业收入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五、教育支出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36</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六、经营收入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37</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七、附属单位上缴收入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rPr>
              <w:t>七、文化旅游体育与传媒支出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38</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八、其他收入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rPr>
              <w:t>八、社会保障和就业支出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39</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九、卫生健康支出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40</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十、节能环保支出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41</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十一、城乡社区支出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42</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十二、农林水支出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43</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十三、交通运输支出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44</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十四、资源勘探工业信息等支出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45</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十五、商业服务业等支出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46</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十六、金融支出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47</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十七、援助其他地区支出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48</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十八、自然资源海洋气象等支出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49</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十九、住房保障支出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50</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二十、粮油物资储备支出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51</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二十一、国有资本经营预算支出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52</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二十二、灾害防治及应急管理支出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53</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二十三、其他支出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54</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二十四、债务还本支出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55</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二十五、债务付息支出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56</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二十六、抗疫特别国债安排的支出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57</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本年收入合计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cs="宋体"/>
                <w:b/>
                <w:bCs/>
                <w:color w:val="000000"/>
                <w:sz w:val="22"/>
                <w:lang w:val="en-US" w:eastAsia="zh-CN"/>
              </w:rPr>
              <w:t>88.37</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本年支出合计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58</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ind w:firstLine="442" w:firstLineChars="200"/>
              <w:jc w:val="right"/>
              <w:rPr>
                <w:rFonts w:hint="default" w:ascii="宋体" w:hAnsi="宋体" w:eastAsia="宋体" w:cs="宋体"/>
                <w:b/>
                <w:color w:val="000000"/>
                <w:sz w:val="22"/>
                <w:lang w:val="en-US" w:eastAsia="zh-CN"/>
              </w:rPr>
            </w:pPr>
            <w:r>
              <w:rPr>
                <w:rFonts w:hint="eastAsia" w:ascii="宋体" w:hAnsi="宋体" w:cs="宋体"/>
                <w:b/>
                <w:color w:val="000000"/>
                <w:sz w:val="22"/>
                <w:lang w:val="en-US" w:eastAsia="zh-CN"/>
              </w:rPr>
              <w:t>88.37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使用非财政拨款结余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结余分配</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59</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年初结转和结余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年末结转和结余</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60</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30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61</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cs="宋体"/>
                <w:b/>
                <w:bCs/>
                <w:color w:val="000000"/>
                <w:sz w:val="22"/>
                <w:lang w:val="en-US" w:eastAsia="zh-CN"/>
              </w:rPr>
              <w:t>88.37</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62</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b/>
                <w:bCs/>
                <w:color w:val="000000"/>
                <w:sz w:val="22"/>
                <w:lang w:val="en-US" w:eastAsia="zh-CN"/>
              </w:rPr>
            </w:pPr>
            <w:r>
              <w:rPr>
                <w:rFonts w:hint="eastAsia" w:ascii="宋体" w:hAnsi="宋体" w:cs="宋体"/>
                <w:b/>
                <w:bCs/>
                <w:color w:val="000000"/>
                <w:sz w:val="22"/>
                <w:lang w:val="en-US" w:eastAsia="zh-CN"/>
              </w:rPr>
              <w:t>88.37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16797" w:type="dxa"/>
            <w:gridSpan w:val="13"/>
            <w:vAlign w:val="center"/>
          </w:tcPr>
          <w:p>
            <w:pPr>
              <w:widowControl/>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注：1.本表反映</w:t>
            </w:r>
            <w:r>
              <w:rPr>
                <w:rFonts w:hint="eastAsia" w:ascii="宋体" w:hAnsi="宋体" w:cs="宋体"/>
                <w:color w:val="000000"/>
                <w:kern w:val="0"/>
                <w:sz w:val="24"/>
                <w:szCs w:val="24"/>
                <w:lang w:eastAsia="zh-CN"/>
              </w:rPr>
              <w:t>单位</w:t>
            </w:r>
            <w:r>
              <w:rPr>
                <w:rFonts w:hint="eastAsia" w:ascii="宋体" w:hAnsi="宋体" w:eastAsia="宋体" w:cs="宋体"/>
                <w:color w:val="000000"/>
                <w:kern w:val="0"/>
                <w:sz w:val="24"/>
                <w:szCs w:val="24"/>
              </w:rPr>
              <w:t>本年度的总收支和年末结转结余情况。</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    2.本套报表金额单位转换时可能存在尾数误差。</w:t>
            </w:r>
          </w:p>
        </w:tc>
      </w:tr>
    </w:tbl>
    <w:p>
      <w:pPr>
        <w:sectPr>
          <w:pgSz w:w="11906" w:h="16838"/>
          <w:pgMar w:top="567" w:right="567" w:bottom="567" w:left="567" w:header="851" w:footer="992" w:gutter="0"/>
          <w:cols w:space="720" w:num="1"/>
          <w:docGrid w:type="lines" w:linePitch="312" w:charSpace="0"/>
        </w:sectPr>
      </w:pPr>
    </w:p>
    <w:tbl>
      <w:tblPr>
        <w:tblStyle w:val="6"/>
        <w:tblW w:w="110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55"/>
        <w:gridCol w:w="471"/>
        <w:gridCol w:w="2738"/>
        <w:gridCol w:w="937"/>
        <w:gridCol w:w="1113"/>
        <w:gridCol w:w="907"/>
        <w:gridCol w:w="1080"/>
        <w:gridCol w:w="1080"/>
        <w:gridCol w:w="1080"/>
        <w:gridCol w:w="10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1039" w:type="dxa"/>
            <w:gridSpan w:val="10"/>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55" w:type="dxa"/>
            <w:shd w:val="clear" w:color="auto" w:fill="FFFFFF"/>
            <w:vAlign w:val="center"/>
          </w:tcPr>
          <w:p>
            <w:pPr>
              <w:jc w:val="right"/>
              <w:rPr>
                <w:rFonts w:ascii="宋体" w:hAnsi="宋体" w:eastAsia="宋体" w:cs="宋体"/>
                <w:color w:val="000000"/>
                <w:sz w:val="24"/>
              </w:rPr>
            </w:pPr>
          </w:p>
        </w:tc>
        <w:tc>
          <w:tcPr>
            <w:tcW w:w="471" w:type="dxa"/>
            <w:shd w:val="clear" w:color="auto" w:fill="FFFFFF"/>
            <w:vAlign w:val="center"/>
          </w:tcPr>
          <w:p>
            <w:pPr>
              <w:jc w:val="right"/>
              <w:rPr>
                <w:rFonts w:ascii="宋体" w:hAnsi="宋体" w:eastAsia="宋体" w:cs="宋体"/>
                <w:color w:val="000000"/>
                <w:sz w:val="24"/>
              </w:rPr>
            </w:pPr>
          </w:p>
        </w:tc>
        <w:tc>
          <w:tcPr>
            <w:tcW w:w="2738" w:type="dxa"/>
            <w:shd w:val="clear" w:color="auto" w:fill="FFFFFF"/>
            <w:vAlign w:val="center"/>
          </w:tcPr>
          <w:p>
            <w:pPr>
              <w:jc w:val="right"/>
              <w:rPr>
                <w:rFonts w:ascii="宋体" w:hAnsi="宋体" w:eastAsia="宋体" w:cs="宋体"/>
                <w:color w:val="000000"/>
                <w:sz w:val="24"/>
              </w:rPr>
            </w:pPr>
          </w:p>
        </w:tc>
        <w:tc>
          <w:tcPr>
            <w:tcW w:w="937" w:type="dxa"/>
            <w:shd w:val="clear" w:color="auto" w:fill="FFFFFF"/>
            <w:vAlign w:val="center"/>
          </w:tcPr>
          <w:p>
            <w:pPr>
              <w:jc w:val="right"/>
              <w:rPr>
                <w:rFonts w:ascii="宋体" w:hAnsi="宋体" w:eastAsia="宋体" w:cs="宋体"/>
                <w:color w:val="000000"/>
                <w:sz w:val="24"/>
              </w:rPr>
            </w:pPr>
          </w:p>
        </w:tc>
        <w:tc>
          <w:tcPr>
            <w:tcW w:w="1113" w:type="dxa"/>
            <w:shd w:val="clear" w:color="auto" w:fill="FFFFFF"/>
            <w:vAlign w:val="center"/>
          </w:tcPr>
          <w:p>
            <w:pPr>
              <w:jc w:val="right"/>
              <w:rPr>
                <w:rFonts w:ascii="宋体" w:hAnsi="宋体" w:eastAsia="宋体" w:cs="宋体"/>
                <w:color w:val="000000"/>
                <w:sz w:val="24"/>
              </w:rPr>
            </w:pPr>
          </w:p>
        </w:tc>
        <w:tc>
          <w:tcPr>
            <w:tcW w:w="907"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5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cs="宋体"/>
                <w:color w:val="000000"/>
                <w:kern w:val="0"/>
                <w:sz w:val="20"/>
                <w:szCs w:val="20"/>
                <w:lang w:eastAsia="zh-CN"/>
              </w:rPr>
              <w:t>单位</w:t>
            </w:r>
            <w:r>
              <w:rPr>
                <w:rFonts w:hint="eastAsia" w:ascii="宋体" w:hAnsi="宋体" w:eastAsia="宋体" w:cs="宋体"/>
                <w:color w:val="000000"/>
                <w:kern w:val="0"/>
                <w:sz w:val="20"/>
                <w:szCs w:val="20"/>
              </w:rPr>
              <w:t>：</w:t>
            </w:r>
          </w:p>
        </w:tc>
        <w:tc>
          <w:tcPr>
            <w:tcW w:w="4146" w:type="dxa"/>
            <w:gridSpan w:val="3"/>
            <w:shd w:val="clear" w:color="auto" w:fill="FFFFFF"/>
            <w:vAlign w:val="center"/>
          </w:tcPr>
          <w:p>
            <w:pPr>
              <w:jc w:val="left"/>
              <w:rPr>
                <w:rFonts w:hint="eastAsia" w:ascii="宋体" w:hAnsi="宋体" w:eastAsia="宋体" w:cs="宋体"/>
                <w:color w:val="000000"/>
                <w:sz w:val="24"/>
                <w:lang w:eastAsia="zh-CN"/>
              </w:rPr>
            </w:pPr>
            <w:r>
              <w:rPr>
                <w:rFonts w:hint="eastAsia" w:ascii="宋体" w:hAnsi="宋体" w:cs="宋体"/>
                <w:color w:val="000000"/>
                <w:sz w:val="24"/>
                <w:lang w:eastAsia="zh-CN"/>
              </w:rPr>
              <w:t>保定外事服务中心</w:t>
            </w:r>
          </w:p>
        </w:tc>
        <w:tc>
          <w:tcPr>
            <w:tcW w:w="1113"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2022年度</w:t>
            </w:r>
          </w:p>
        </w:tc>
        <w:tc>
          <w:tcPr>
            <w:tcW w:w="907"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76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本年收入合计</w:t>
            </w:r>
          </w:p>
        </w:tc>
        <w:tc>
          <w:tcPr>
            <w:tcW w:w="11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财政拨款收入</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上级补助收入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事业收入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经营收入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附属单位上缴收入</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2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273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2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27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76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9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76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9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bCs/>
                <w:color w:val="000000"/>
                <w:sz w:val="24"/>
              </w:rPr>
            </w:pPr>
            <w:r>
              <w:rPr>
                <w:rFonts w:hint="eastAsia" w:ascii="宋体" w:hAnsi="宋体" w:cs="宋体"/>
                <w:b/>
                <w:bCs/>
                <w:color w:val="000000"/>
                <w:sz w:val="24"/>
                <w:lang w:val="en-US" w:eastAsia="zh-CN"/>
              </w:rPr>
              <w:t>88.37</w:t>
            </w:r>
          </w:p>
        </w:tc>
        <w:tc>
          <w:tcPr>
            <w:tcW w:w="111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bCs/>
                <w:color w:val="000000"/>
                <w:sz w:val="24"/>
              </w:rPr>
            </w:pPr>
            <w:r>
              <w:rPr>
                <w:rFonts w:hint="eastAsia" w:ascii="宋体" w:hAnsi="宋体" w:cs="宋体"/>
                <w:b/>
                <w:bCs/>
                <w:color w:val="000000"/>
                <w:sz w:val="24"/>
                <w:lang w:val="en-US" w:eastAsia="zh-CN"/>
              </w:rPr>
              <w:t>88.37</w:t>
            </w:r>
          </w:p>
        </w:tc>
        <w:tc>
          <w:tcPr>
            <w:tcW w:w="90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w:t>
            </w:r>
          </w:p>
        </w:tc>
        <w:tc>
          <w:tcPr>
            <w:tcW w:w="2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93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4"/>
                <w:lang w:val="en-US" w:eastAsia="zh-CN"/>
              </w:rPr>
            </w:pPr>
            <w:r>
              <w:rPr>
                <w:rFonts w:hint="eastAsia" w:ascii="宋体" w:hAnsi="宋体" w:cs="宋体"/>
                <w:color w:val="000000"/>
                <w:sz w:val="24"/>
                <w:lang w:val="en-US" w:eastAsia="zh-CN"/>
              </w:rPr>
              <w:t>88.37</w:t>
            </w:r>
          </w:p>
        </w:tc>
        <w:tc>
          <w:tcPr>
            <w:tcW w:w="1113"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4"/>
                <w:lang w:val="en-US" w:eastAsia="zh-CN"/>
              </w:rPr>
            </w:pPr>
            <w:r>
              <w:rPr>
                <w:rFonts w:hint="eastAsia" w:ascii="宋体" w:hAnsi="宋体" w:cs="宋体"/>
                <w:color w:val="000000"/>
                <w:sz w:val="24"/>
                <w:lang w:val="en-US" w:eastAsia="zh-CN"/>
              </w:rPr>
              <w:t>88.37</w:t>
            </w:r>
          </w:p>
        </w:tc>
        <w:tc>
          <w:tcPr>
            <w:tcW w:w="90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20103</w:t>
            </w:r>
          </w:p>
        </w:tc>
        <w:tc>
          <w:tcPr>
            <w:tcW w:w="2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937" w:type="dxa"/>
            <w:tcBorders>
              <w:top w:val="single" w:color="000000" w:sz="4" w:space="0"/>
              <w:left w:val="single" w:color="000000" w:sz="4" w:space="0"/>
              <w:bottom w:val="single" w:color="000000" w:sz="4" w:space="0"/>
              <w:right w:val="single" w:color="000000" w:sz="4" w:space="0"/>
            </w:tcBorders>
            <w:vAlign w:val="center"/>
          </w:tcPr>
          <w:p>
            <w:pPr>
              <w:jc w:val="right"/>
              <w:rPr>
                <w:rFonts w:ascii="华文中宋" w:hAnsi="华文中宋" w:eastAsia="华文中宋" w:cs="华文中宋"/>
                <w:color w:val="000000"/>
                <w:sz w:val="24"/>
              </w:rPr>
            </w:pPr>
            <w:r>
              <w:rPr>
                <w:rFonts w:hint="eastAsia" w:ascii="宋体" w:hAnsi="宋体" w:cs="宋体"/>
                <w:color w:val="000000"/>
                <w:sz w:val="24"/>
                <w:lang w:val="en-US" w:eastAsia="zh-CN"/>
              </w:rPr>
              <w:t>88.37</w:t>
            </w:r>
          </w:p>
        </w:tc>
        <w:tc>
          <w:tcPr>
            <w:tcW w:w="111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88.37</w:t>
            </w:r>
          </w:p>
        </w:tc>
        <w:tc>
          <w:tcPr>
            <w:tcW w:w="90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2010350</w:t>
            </w:r>
          </w:p>
        </w:tc>
        <w:tc>
          <w:tcPr>
            <w:tcW w:w="2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9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88.37</w:t>
            </w:r>
          </w:p>
        </w:tc>
        <w:tc>
          <w:tcPr>
            <w:tcW w:w="111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88.37</w:t>
            </w:r>
          </w:p>
        </w:tc>
        <w:tc>
          <w:tcPr>
            <w:tcW w:w="90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2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9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90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2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9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90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2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9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11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90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11039" w:type="dxa"/>
            <w:gridSpan w:val="10"/>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w:t>
            </w:r>
            <w:r>
              <w:rPr>
                <w:rFonts w:hint="eastAsia" w:ascii="宋体" w:hAnsi="宋体" w:cs="宋体"/>
                <w:color w:val="000000"/>
                <w:kern w:val="0"/>
                <w:sz w:val="24"/>
                <w:szCs w:val="24"/>
                <w:lang w:eastAsia="zh-CN"/>
              </w:rPr>
              <w:t>单位</w:t>
            </w:r>
            <w:r>
              <w:rPr>
                <w:rFonts w:hint="eastAsia" w:ascii="宋体" w:hAnsi="宋体" w:eastAsia="宋体" w:cs="宋体"/>
                <w:color w:val="000000"/>
                <w:kern w:val="0"/>
                <w:sz w:val="24"/>
                <w:szCs w:val="24"/>
              </w:rPr>
              <w:t>本年度取得的各项收入情况。</w:t>
            </w:r>
          </w:p>
        </w:tc>
      </w:tr>
    </w:tbl>
    <w:p>
      <w:pPr>
        <w:sectPr>
          <w:pgSz w:w="11906" w:h="16838"/>
          <w:pgMar w:top="567" w:right="567" w:bottom="567" w:left="567" w:header="851" w:footer="992" w:gutter="0"/>
          <w:cols w:space="720" w:num="1"/>
          <w:docGrid w:type="lines" w:linePitch="312" w:charSpace="0"/>
        </w:sectPr>
      </w:pPr>
    </w:p>
    <w:tbl>
      <w:tblPr>
        <w:tblStyle w:val="6"/>
        <w:tblW w:w="102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71"/>
        <w:gridCol w:w="355"/>
        <w:gridCol w:w="2288"/>
        <w:gridCol w:w="1475"/>
        <w:gridCol w:w="1225"/>
        <w:gridCol w:w="1069"/>
        <w:gridCol w:w="1069"/>
        <w:gridCol w:w="1069"/>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0286" w:type="dxa"/>
            <w:gridSpan w:val="9"/>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71" w:type="dxa"/>
            <w:shd w:val="clear" w:color="auto" w:fill="FFFFFF"/>
            <w:vAlign w:val="center"/>
          </w:tcPr>
          <w:p>
            <w:pPr>
              <w:jc w:val="right"/>
              <w:rPr>
                <w:rFonts w:ascii="宋体" w:hAnsi="宋体" w:eastAsia="宋体" w:cs="宋体"/>
                <w:color w:val="000000"/>
                <w:sz w:val="24"/>
              </w:rPr>
            </w:pPr>
          </w:p>
        </w:tc>
        <w:tc>
          <w:tcPr>
            <w:tcW w:w="355" w:type="dxa"/>
            <w:shd w:val="clear" w:color="auto" w:fill="FFFFFF"/>
            <w:vAlign w:val="center"/>
          </w:tcPr>
          <w:p>
            <w:pPr>
              <w:jc w:val="right"/>
              <w:rPr>
                <w:rFonts w:ascii="宋体" w:hAnsi="宋体" w:eastAsia="宋体" w:cs="宋体"/>
                <w:color w:val="000000"/>
                <w:sz w:val="24"/>
              </w:rPr>
            </w:pPr>
          </w:p>
        </w:tc>
        <w:tc>
          <w:tcPr>
            <w:tcW w:w="2288" w:type="dxa"/>
            <w:shd w:val="clear" w:color="auto" w:fill="FFFFFF"/>
            <w:vAlign w:val="center"/>
          </w:tcPr>
          <w:p>
            <w:pPr>
              <w:jc w:val="right"/>
              <w:rPr>
                <w:rFonts w:ascii="宋体" w:hAnsi="宋体" w:eastAsia="宋体" w:cs="宋体"/>
                <w:color w:val="000000"/>
                <w:sz w:val="24"/>
              </w:rPr>
            </w:pPr>
          </w:p>
        </w:tc>
        <w:tc>
          <w:tcPr>
            <w:tcW w:w="1475" w:type="dxa"/>
            <w:shd w:val="clear" w:color="auto" w:fill="FFFFFF"/>
            <w:vAlign w:val="center"/>
          </w:tcPr>
          <w:p>
            <w:pPr>
              <w:jc w:val="right"/>
              <w:rPr>
                <w:rFonts w:ascii="宋体" w:hAnsi="宋体" w:eastAsia="宋体" w:cs="宋体"/>
                <w:color w:val="000000"/>
                <w:sz w:val="24"/>
              </w:rPr>
            </w:pPr>
          </w:p>
        </w:tc>
        <w:tc>
          <w:tcPr>
            <w:tcW w:w="1225"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71"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cs="宋体"/>
                <w:color w:val="000000"/>
                <w:kern w:val="0"/>
                <w:sz w:val="20"/>
                <w:szCs w:val="20"/>
                <w:lang w:eastAsia="zh-CN"/>
              </w:rPr>
              <w:t>单位</w:t>
            </w:r>
            <w:r>
              <w:rPr>
                <w:rFonts w:hint="eastAsia" w:ascii="宋体" w:hAnsi="宋体" w:eastAsia="宋体" w:cs="宋体"/>
                <w:color w:val="000000"/>
                <w:kern w:val="0"/>
                <w:sz w:val="20"/>
                <w:szCs w:val="20"/>
              </w:rPr>
              <w:t>：</w:t>
            </w:r>
          </w:p>
        </w:tc>
        <w:tc>
          <w:tcPr>
            <w:tcW w:w="4118" w:type="dxa"/>
            <w:gridSpan w:val="3"/>
            <w:shd w:val="clear" w:color="auto" w:fill="FFFFFF"/>
            <w:vAlign w:val="center"/>
          </w:tcPr>
          <w:p>
            <w:pPr>
              <w:wordWrap/>
              <w:jc w:val="left"/>
              <w:rPr>
                <w:rFonts w:hint="eastAsia" w:ascii="宋体" w:hAnsi="宋体" w:eastAsia="宋体" w:cs="宋体"/>
                <w:color w:val="000000"/>
                <w:sz w:val="24"/>
                <w:lang w:eastAsia="zh-CN"/>
              </w:rPr>
            </w:pPr>
            <w:r>
              <w:rPr>
                <w:rFonts w:hint="eastAsia" w:ascii="宋体" w:hAnsi="宋体" w:eastAsia="宋体" w:cs="宋体"/>
                <w:color w:val="000000"/>
                <w:sz w:val="24"/>
                <w:szCs w:val="24"/>
              </w:rPr>
              <w:t xml:space="preserve"> </w:t>
            </w:r>
            <w:r>
              <w:rPr>
                <w:rFonts w:hint="eastAsia" w:ascii="宋体" w:hAnsi="宋体" w:cs="宋体"/>
                <w:color w:val="000000"/>
                <w:sz w:val="24"/>
                <w:szCs w:val="24"/>
                <w:lang w:eastAsia="zh-CN"/>
              </w:rPr>
              <w:t>保定外事服务中心</w:t>
            </w:r>
          </w:p>
        </w:tc>
        <w:tc>
          <w:tcPr>
            <w:tcW w:w="1225" w:type="dxa"/>
            <w:shd w:val="clear" w:color="auto" w:fill="FFFFFF"/>
            <w:vAlign w:val="center"/>
          </w:tcPr>
          <w:p>
            <w:pPr>
              <w:rPr>
                <w:rFonts w:ascii="宋体" w:hAnsi="宋体" w:eastAsia="宋体" w:cs="宋体"/>
                <w:color w:val="000000"/>
                <w:sz w:val="24"/>
              </w:rPr>
            </w:pPr>
            <w:r>
              <w:rPr>
                <w:rFonts w:hint="eastAsia" w:ascii="宋体" w:hAnsi="宋体" w:eastAsia="宋体" w:cs="宋体"/>
                <w:color w:val="000000"/>
                <w:sz w:val="24"/>
                <w:szCs w:val="24"/>
              </w:rPr>
              <w:t>2022年度</w:t>
            </w:r>
          </w:p>
        </w:tc>
        <w:tc>
          <w:tcPr>
            <w:tcW w:w="1069" w:type="dxa"/>
            <w:shd w:val="clear" w:color="auto" w:fill="FFFFFF"/>
            <w:vAlign w:val="center"/>
          </w:tcPr>
          <w:p>
            <w:pPr>
              <w:jc w:val="center"/>
              <w:rPr>
                <w:rFonts w:ascii="宋体" w:hAnsi="宋体" w:eastAsia="宋体" w:cs="宋体"/>
                <w:color w:val="000000"/>
                <w:sz w:val="20"/>
                <w:szCs w:val="20"/>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31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本年支出合计</w:t>
            </w:r>
          </w:p>
        </w:tc>
        <w:tc>
          <w:tcPr>
            <w:tcW w:w="12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基本支出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上缴上级支出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经营支出</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2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22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2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22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31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31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1475"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b/>
                <w:bCs/>
                <w:color w:val="000000"/>
                <w:sz w:val="24"/>
                <w:lang w:val="en-US" w:eastAsia="zh-CN"/>
              </w:rPr>
            </w:pPr>
            <w:r>
              <w:rPr>
                <w:rFonts w:hint="eastAsia" w:ascii="宋体" w:hAnsi="宋体" w:cs="宋体"/>
                <w:b/>
                <w:bCs/>
                <w:color w:val="000000"/>
                <w:sz w:val="24"/>
                <w:lang w:val="en-US" w:eastAsia="zh-CN"/>
              </w:rPr>
              <w:t>88.37</w:t>
            </w:r>
          </w:p>
        </w:tc>
        <w:tc>
          <w:tcPr>
            <w:tcW w:w="12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bCs/>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b/>
                <w:bCs/>
                <w:color w:val="000000"/>
                <w:sz w:val="24"/>
                <w:lang w:val="en-US" w:eastAsia="zh-CN"/>
              </w:rPr>
            </w:pPr>
            <w:r>
              <w:rPr>
                <w:rFonts w:hint="eastAsia" w:ascii="宋体" w:hAnsi="宋体" w:cs="宋体"/>
                <w:b/>
                <w:bCs/>
                <w:color w:val="000000"/>
                <w:sz w:val="24"/>
                <w:lang w:val="en-US" w:eastAsia="zh-CN"/>
              </w:rPr>
              <w:t>88.37</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w:t>
            </w:r>
          </w:p>
        </w:tc>
        <w:tc>
          <w:tcPr>
            <w:tcW w:w="2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47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88.37</w:t>
            </w:r>
          </w:p>
        </w:tc>
        <w:tc>
          <w:tcPr>
            <w:tcW w:w="12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88.37</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20103</w:t>
            </w:r>
          </w:p>
        </w:tc>
        <w:tc>
          <w:tcPr>
            <w:tcW w:w="2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47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88.37</w:t>
            </w:r>
          </w:p>
        </w:tc>
        <w:tc>
          <w:tcPr>
            <w:tcW w:w="12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88.37</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2010350</w:t>
            </w:r>
          </w:p>
        </w:tc>
        <w:tc>
          <w:tcPr>
            <w:tcW w:w="2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47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88.37</w:t>
            </w:r>
          </w:p>
        </w:tc>
        <w:tc>
          <w:tcPr>
            <w:tcW w:w="12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88.37</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p>
        </w:tc>
        <w:tc>
          <w:tcPr>
            <w:tcW w:w="2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p>
        </w:tc>
        <w:tc>
          <w:tcPr>
            <w:tcW w:w="147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2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2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47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2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2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47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2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10286" w:type="dxa"/>
            <w:gridSpan w:val="9"/>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w:t>
            </w:r>
            <w:r>
              <w:rPr>
                <w:rFonts w:hint="eastAsia" w:ascii="宋体" w:hAnsi="宋体" w:cs="宋体"/>
                <w:color w:val="000000"/>
                <w:kern w:val="0"/>
                <w:sz w:val="24"/>
                <w:szCs w:val="24"/>
                <w:lang w:eastAsia="zh-CN"/>
              </w:rPr>
              <w:t>单位</w:t>
            </w:r>
            <w:r>
              <w:rPr>
                <w:rFonts w:hint="eastAsia" w:ascii="宋体" w:hAnsi="宋体" w:eastAsia="宋体" w:cs="宋体"/>
                <w:color w:val="000000"/>
                <w:kern w:val="0"/>
                <w:sz w:val="24"/>
                <w:szCs w:val="24"/>
              </w:rPr>
              <w:t>本年度各项支出情况。</w:t>
            </w:r>
          </w:p>
        </w:tc>
      </w:tr>
    </w:tbl>
    <w:p>
      <w:pPr>
        <w:sectPr>
          <w:pgSz w:w="11906" w:h="16838"/>
          <w:pgMar w:top="567" w:right="567" w:bottom="567" w:left="567" w:header="851" w:footer="992" w:gutter="0"/>
          <w:cols w:space="720" w:num="1"/>
          <w:docGrid w:type="lines" w:linePitch="312" w:charSpace="0"/>
        </w:sectPr>
      </w:pPr>
    </w:p>
    <w:tbl>
      <w:tblPr>
        <w:tblStyle w:val="6"/>
        <w:tblW w:w="141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00"/>
        <w:gridCol w:w="564"/>
        <w:gridCol w:w="1157"/>
        <w:gridCol w:w="371"/>
        <w:gridCol w:w="647"/>
        <w:gridCol w:w="1162"/>
        <w:gridCol w:w="1097"/>
        <w:gridCol w:w="319"/>
        <w:gridCol w:w="475"/>
        <w:gridCol w:w="134"/>
        <w:gridCol w:w="1275"/>
        <w:gridCol w:w="767"/>
        <w:gridCol w:w="733"/>
        <w:gridCol w:w="1529"/>
        <w:gridCol w:w="18"/>
        <w:gridCol w:w="33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4186" w:type="dxa"/>
            <w:gridSpan w:val="16"/>
            <w:vAlign w:val="center"/>
          </w:tcPr>
          <w:p>
            <w:pPr>
              <w:widowControl/>
              <w:ind w:firstLine="3520" w:firstLineChars="1100"/>
              <w:textAlignment w:val="center"/>
              <w:rPr>
                <w:rFonts w:ascii="华文中宋" w:hAnsi="华文中宋" w:eastAsia="华文中宋" w:cs="华文中宋"/>
                <w:color w:val="000000"/>
                <w:kern w:val="0"/>
                <w:sz w:val="32"/>
                <w:szCs w:val="32"/>
              </w:rPr>
            </w:pPr>
            <w:r>
              <w:rPr>
                <w:rFonts w:hint="eastAsia" w:ascii="华文中宋" w:hAnsi="华文中宋" w:eastAsia="华文中宋" w:cs="华文中宋"/>
                <w:color w:val="000000"/>
                <w:kern w:val="0"/>
                <w:sz w:val="32"/>
                <w:szCs w:val="32"/>
              </w:rPr>
              <w:t>财政拨款收入支出决算总表</w:t>
            </w:r>
          </w:p>
          <w:tbl>
            <w:tblPr>
              <w:tblStyle w:val="6"/>
              <w:tblW w:w="108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75"/>
              <w:gridCol w:w="570"/>
              <w:gridCol w:w="1245"/>
              <w:gridCol w:w="1727"/>
              <w:gridCol w:w="1757"/>
              <w:gridCol w:w="1080"/>
              <w:gridCol w:w="1080"/>
              <w:gridCol w:w="1080"/>
              <w:gridCol w:w="16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75" w:type="dxa"/>
                  <w:shd w:val="clear" w:color="auto" w:fill="FFFFFF"/>
                  <w:vAlign w:val="center"/>
                </w:tcPr>
                <w:p>
                  <w:pPr>
                    <w:jc w:val="right"/>
                    <w:rPr>
                      <w:rFonts w:ascii="宋体" w:hAnsi="宋体" w:eastAsia="宋体" w:cs="宋体"/>
                      <w:color w:val="000000"/>
                      <w:sz w:val="24"/>
                    </w:rPr>
                  </w:pPr>
                </w:p>
              </w:tc>
              <w:tc>
                <w:tcPr>
                  <w:tcW w:w="570" w:type="dxa"/>
                  <w:shd w:val="clear" w:color="auto" w:fill="FFFFFF"/>
                  <w:vAlign w:val="center"/>
                </w:tcPr>
                <w:p>
                  <w:pPr>
                    <w:jc w:val="right"/>
                    <w:rPr>
                      <w:rFonts w:ascii="宋体" w:hAnsi="宋体" w:eastAsia="宋体" w:cs="宋体"/>
                      <w:color w:val="000000"/>
                      <w:sz w:val="24"/>
                    </w:rPr>
                  </w:pPr>
                </w:p>
              </w:tc>
              <w:tc>
                <w:tcPr>
                  <w:tcW w:w="1245" w:type="dxa"/>
                  <w:shd w:val="clear" w:color="auto" w:fill="FFFFFF"/>
                  <w:vAlign w:val="center"/>
                </w:tcPr>
                <w:p>
                  <w:pPr>
                    <w:jc w:val="right"/>
                    <w:rPr>
                      <w:rFonts w:ascii="宋体" w:hAnsi="宋体" w:eastAsia="宋体" w:cs="宋体"/>
                      <w:color w:val="000000"/>
                      <w:sz w:val="24"/>
                    </w:rPr>
                  </w:pPr>
                </w:p>
              </w:tc>
              <w:tc>
                <w:tcPr>
                  <w:tcW w:w="1727" w:type="dxa"/>
                  <w:shd w:val="clear" w:color="auto" w:fill="FFFFFF"/>
                  <w:vAlign w:val="center"/>
                </w:tcPr>
                <w:p>
                  <w:pPr>
                    <w:jc w:val="right"/>
                    <w:rPr>
                      <w:rFonts w:ascii="宋体" w:hAnsi="宋体" w:eastAsia="宋体" w:cs="宋体"/>
                      <w:color w:val="000000"/>
                      <w:sz w:val="24"/>
                    </w:rPr>
                  </w:pPr>
                </w:p>
              </w:tc>
              <w:tc>
                <w:tcPr>
                  <w:tcW w:w="1757"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601" w:type="dxa"/>
                  <w:shd w:val="clear" w:color="auto" w:fill="FFFFFF"/>
                  <w:vAlign w:val="center"/>
                </w:tcPr>
                <w:p>
                  <w:pPr>
                    <w:widowControl/>
                    <w:ind w:right="-439" w:rightChars="-209"/>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7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cs="宋体"/>
                      <w:color w:val="000000"/>
                      <w:kern w:val="0"/>
                      <w:sz w:val="20"/>
                      <w:szCs w:val="20"/>
                      <w:lang w:eastAsia="zh-CN"/>
                    </w:rPr>
                    <w:t>单位</w:t>
                  </w:r>
                  <w:r>
                    <w:rPr>
                      <w:rFonts w:hint="eastAsia" w:ascii="宋体" w:hAnsi="宋体" w:eastAsia="宋体" w:cs="宋体"/>
                      <w:color w:val="000000"/>
                      <w:kern w:val="0"/>
                      <w:sz w:val="20"/>
                      <w:szCs w:val="20"/>
                    </w:rPr>
                    <w:t>：</w:t>
                  </w:r>
                </w:p>
              </w:tc>
              <w:tc>
                <w:tcPr>
                  <w:tcW w:w="3542" w:type="dxa"/>
                  <w:gridSpan w:val="3"/>
                  <w:shd w:val="clear" w:color="auto" w:fill="FFFFFF"/>
                  <w:vAlign w:val="center"/>
                </w:tcPr>
                <w:p>
                  <w:pPr>
                    <w:wordWrap/>
                    <w:jc w:val="left"/>
                    <w:rPr>
                      <w:rFonts w:ascii="宋体" w:hAnsi="宋体" w:eastAsia="宋体" w:cs="宋体"/>
                      <w:color w:val="000000"/>
                      <w:sz w:val="24"/>
                    </w:rPr>
                  </w:pPr>
                  <w:r>
                    <w:rPr>
                      <w:rFonts w:hint="eastAsia" w:ascii="宋体" w:hAnsi="宋体" w:cs="宋体"/>
                      <w:color w:val="000000"/>
                      <w:sz w:val="24"/>
                      <w:szCs w:val="24"/>
                      <w:lang w:eastAsia="zh-CN"/>
                    </w:rPr>
                    <w:t>保定外事服务中心</w:t>
                  </w:r>
                  <w:r>
                    <w:rPr>
                      <w:rFonts w:hint="eastAsia" w:ascii="宋体" w:hAnsi="宋体" w:eastAsia="宋体" w:cs="宋体"/>
                      <w:color w:val="000000"/>
                      <w:sz w:val="24"/>
                      <w:szCs w:val="24"/>
                    </w:rPr>
                    <w:t xml:space="preserve"> </w:t>
                  </w:r>
                </w:p>
              </w:tc>
              <w:tc>
                <w:tcPr>
                  <w:tcW w:w="1757" w:type="dxa"/>
                  <w:shd w:val="clear" w:color="auto" w:fill="FFFFFF"/>
                  <w:vAlign w:val="center"/>
                </w:tcPr>
                <w:p>
                  <w:pPr>
                    <w:ind w:firstLine="720" w:firstLineChars="300"/>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601" w:type="dxa"/>
                  <w:shd w:val="clear" w:color="auto" w:fill="FFFFFF"/>
                  <w:vAlign w:val="center"/>
                </w:tcPr>
                <w:p>
                  <w:pPr>
                    <w:widowControl/>
                    <w:tabs>
                      <w:tab w:val="left" w:pos="1680"/>
                    </w:tabs>
                    <w:ind w:left="1476" w:right="-638" w:rightChars="-304" w:hanging="1476" w:hangingChars="738"/>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bl>
          <w:p>
            <w:pPr>
              <w:widowControl/>
              <w:jc w:val="center"/>
              <w:textAlignment w:val="center"/>
              <w:rPr>
                <w:rFonts w:ascii="华文中宋" w:hAnsi="华文中宋" w:eastAsia="华文中宋" w:cs="华文中宋"/>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221" w:hRule="atLeast"/>
        </w:trPr>
        <w:tc>
          <w:tcPr>
            <w:tcW w:w="3339"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收入</w:t>
            </w:r>
          </w:p>
        </w:tc>
        <w:tc>
          <w:tcPr>
            <w:tcW w:w="7491"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580" w:hRule="atLeast"/>
        </w:trPr>
        <w:tc>
          <w:tcPr>
            <w:tcW w:w="232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金额</w:t>
            </w:r>
          </w:p>
        </w:tc>
        <w:tc>
          <w:tcPr>
            <w:tcW w:w="22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6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一般公共预算财政拨款</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政府性基金预算财政拨款</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295" w:hRule="atLeast"/>
        </w:trPr>
        <w:tc>
          <w:tcPr>
            <w:tcW w:w="232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    次</w:t>
            </w:r>
          </w:p>
        </w:tc>
        <w:tc>
          <w:tcPr>
            <w:tcW w:w="3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22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    次</w:t>
            </w:r>
          </w:p>
        </w:tc>
        <w:tc>
          <w:tcPr>
            <w:tcW w:w="31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6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1"/>
                <w:szCs w:val="11"/>
              </w:rPr>
            </w:pPr>
            <w:r>
              <w:rPr>
                <w:rFonts w:hint="eastAsia"/>
                <w:sz w:val="18"/>
                <w:szCs w:val="21"/>
              </w:rPr>
              <w:t>一、一般公共预算财政拨款</w:t>
            </w:r>
          </w:p>
        </w:tc>
        <w:tc>
          <w:tcPr>
            <w:tcW w:w="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1</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88.37</w:t>
            </w:r>
          </w:p>
        </w:tc>
        <w:tc>
          <w:tcPr>
            <w:tcW w:w="225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3"/>
                <w:szCs w:val="13"/>
              </w:rPr>
            </w:pPr>
            <w:r>
              <w:rPr>
                <w:rFonts w:hint="eastAsia"/>
                <w:sz w:val="20"/>
              </w:rPr>
              <w:t>一、一般公共服务支出</w:t>
            </w:r>
          </w:p>
        </w:tc>
        <w:tc>
          <w:tcPr>
            <w:tcW w:w="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33</w:t>
            </w:r>
          </w:p>
        </w:tc>
        <w:tc>
          <w:tcPr>
            <w:tcW w:w="6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88.37</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88.37</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52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1"/>
                <w:szCs w:val="11"/>
              </w:rPr>
            </w:pPr>
            <w:r>
              <w:rPr>
                <w:rFonts w:hint="eastAsia"/>
                <w:sz w:val="18"/>
                <w:szCs w:val="21"/>
              </w:rPr>
              <w:t>二、政府性基金预算财政拨款</w:t>
            </w:r>
          </w:p>
        </w:tc>
        <w:tc>
          <w:tcPr>
            <w:tcW w:w="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2</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225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3"/>
                <w:szCs w:val="13"/>
              </w:rPr>
            </w:pPr>
            <w:r>
              <w:rPr>
                <w:rFonts w:hint="eastAsia"/>
                <w:sz w:val="20"/>
              </w:rPr>
              <w:t>二、外交支出</w:t>
            </w:r>
          </w:p>
        </w:tc>
        <w:tc>
          <w:tcPr>
            <w:tcW w:w="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34</w:t>
            </w:r>
          </w:p>
        </w:tc>
        <w:tc>
          <w:tcPr>
            <w:tcW w:w="6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52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1"/>
                <w:szCs w:val="11"/>
              </w:rPr>
            </w:pPr>
            <w:r>
              <w:rPr>
                <w:rFonts w:hint="eastAsia"/>
                <w:sz w:val="16"/>
                <w:szCs w:val="20"/>
              </w:rPr>
              <w:t>三、国有资本经营预算财政拨款</w:t>
            </w:r>
          </w:p>
        </w:tc>
        <w:tc>
          <w:tcPr>
            <w:tcW w:w="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3</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225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3"/>
                <w:szCs w:val="13"/>
              </w:rPr>
            </w:pPr>
            <w:r>
              <w:rPr>
                <w:rFonts w:hint="eastAsia"/>
                <w:sz w:val="20"/>
              </w:rPr>
              <w:t>三、国防支出</w:t>
            </w:r>
          </w:p>
        </w:tc>
        <w:tc>
          <w:tcPr>
            <w:tcW w:w="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35</w:t>
            </w:r>
          </w:p>
        </w:tc>
        <w:tc>
          <w:tcPr>
            <w:tcW w:w="6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52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4</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225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3"/>
                <w:szCs w:val="13"/>
              </w:rPr>
            </w:pPr>
            <w:r>
              <w:rPr>
                <w:rFonts w:hint="eastAsia"/>
                <w:sz w:val="20"/>
              </w:rPr>
              <w:t>四、公共安全支出</w:t>
            </w:r>
          </w:p>
        </w:tc>
        <w:tc>
          <w:tcPr>
            <w:tcW w:w="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36</w:t>
            </w:r>
          </w:p>
        </w:tc>
        <w:tc>
          <w:tcPr>
            <w:tcW w:w="6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52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5</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225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3"/>
                <w:szCs w:val="13"/>
              </w:rPr>
            </w:pPr>
            <w:r>
              <w:rPr>
                <w:rFonts w:hint="eastAsia"/>
                <w:sz w:val="20"/>
              </w:rPr>
              <w:t>五、教育支出</w:t>
            </w:r>
          </w:p>
        </w:tc>
        <w:tc>
          <w:tcPr>
            <w:tcW w:w="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37</w:t>
            </w:r>
          </w:p>
        </w:tc>
        <w:tc>
          <w:tcPr>
            <w:tcW w:w="6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52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6</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225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3"/>
                <w:szCs w:val="13"/>
              </w:rPr>
            </w:pPr>
            <w:r>
              <w:rPr>
                <w:rFonts w:hint="eastAsia"/>
                <w:sz w:val="20"/>
              </w:rPr>
              <w:t>六、科学技术支出</w:t>
            </w:r>
          </w:p>
        </w:tc>
        <w:tc>
          <w:tcPr>
            <w:tcW w:w="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38</w:t>
            </w:r>
          </w:p>
        </w:tc>
        <w:tc>
          <w:tcPr>
            <w:tcW w:w="6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52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7</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225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5"/>
                <w:szCs w:val="15"/>
              </w:rPr>
            </w:pPr>
            <w:r>
              <w:rPr>
                <w:rFonts w:hint="eastAsia"/>
                <w:sz w:val="20"/>
              </w:rPr>
              <w:t>七、文化旅游体育与传媒支出</w:t>
            </w:r>
          </w:p>
        </w:tc>
        <w:tc>
          <w:tcPr>
            <w:tcW w:w="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39</w:t>
            </w:r>
          </w:p>
        </w:tc>
        <w:tc>
          <w:tcPr>
            <w:tcW w:w="6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52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8</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22"/>
              </w:rPr>
            </w:pPr>
          </w:p>
        </w:tc>
        <w:tc>
          <w:tcPr>
            <w:tcW w:w="225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3"/>
                <w:szCs w:val="13"/>
              </w:rPr>
            </w:pPr>
            <w:r>
              <w:rPr>
                <w:rFonts w:hint="eastAsia"/>
                <w:sz w:val="20"/>
              </w:rPr>
              <w:t>八、社会保障和就业支出</w:t>
            </w:r>
          </w:p>
        </w:tc>
        <w:tc>
          <w:tcPr>
            <w:tcW w:w="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40</w:t>
            </w:r>
          </w:p>
        </w:tc>
        <w:tc>
          <w:tcPr>
            <w:tcW w:w="6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52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9</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225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3"/>
                <w:szCs w:val="13"/>
              </w:rPr>
            </w:pPr>
            <w:r>
              <w:rPr>
                <w:rFonts w:hint="eastAsia"/>
                <w:sz w:val="20"/>
              </w:rPr>
              <w:t>九、卫生健康支出</w:t>
            </w:r>
          </w:p>
        </w:tc>
        <w:tc>
          <w:tcPr>
            <w:tcW w:w="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41</w:t>
            </w:r>
          </w:p>
        </w:tc>
        <w:tc>
          <w:tcPr>
            <w:tcW w:w="6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52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10</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225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3"/>
                <w:szCs w:val="13"/>
              </w:rPr>
            </w:pPr>
            <w:r>
              <w:rPr>
                <w:rFonts w:hint="eastAsia"/>
                <w:sz w:val="20"/>
              </w:rPr>
              <w:t>十、节能环保支出</w:t>
            </w:r>
          </w:p>
        </w:tc>
        <w:tc>
          <w:tcPr>
            <w:tcW w:w="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42</w:t>
            </w:r>
          </w:p>
        </w:tc>
        <w:tc>
          <w:tcPr>
            <w:tcW w:w="6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52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11</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225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3"/>
                <w:szCs w:val="13"/>
              </w:rPr>
            </w:pPr>
            <w:r>
              <w:rPr>
                <w:rFonts w:hint="eastAsia"/>
                <w:sz w:val="20"/>
              </w:rPr>
              <w:t>十一、城乡社区支出</w:t>
            </w:r>
          </w:p>
        </w:tc>
        <w:tc>
          <w:tcPr>
            <w:tcW w:w="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43</w:t>
            </w:r>
          </w:p>
        </w:tc>
        <w:tc>
          <w:tcPr>
            <w:tcW w:w="6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52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12</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225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3"/>
                <w:szCs w:val="13"/>
              </w:rPr>
            </w:pPr>
            <w:r>
              <w:rPr>
                <w:rFonts w:hint="eastAsia"/>
                <w:sz w:val="20"/>
              </w:rPr>
              <w:t>十二、农林水支出</w:t>
            </w:r>
          </w:p>
        </w:tc>
        <w:tc>
          <w:tcPr>
            <w:tcW w:w="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44</w:t>
            </w:r>
          </w:p>
        </w:tc>
        <w:tc>
          <w:tcPr>
            <w:tcW w:w="6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52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13</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225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3"/>
                <w:szCs w:val="13"/>
              </w:rPr>
            </w:pPr>
            <w:r>
              <w:rPr>
                <w:rFonts w:hint="eastAsia"/>
                <w:sz w:val="20"/>
              </w:rPr>
              <w:t>十三、交通运输支出</w:t>
            </w:r>
          </w:p>
        </w:tc>
        <w:tc>
          <w:tcPr>
            <w:tcW w:w="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45</w:t>
            </w:r>
          </w:p>
        </w:tc>
        <w:tc>
          <w:tcPr>
            <w:tcW w:w="6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52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14</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2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sz w:val="13"/>
                <w:szCs w:val="13"/>
              </w:rPr>
            </w:pPr>
            <w:r>
              <w:rPr>
                <w:rFonts w:hint="eastAsia"/>
                <w:sz w:val="18"/>
                <w:szCs w:val="21"/>
              </w:rPr>
              <w:t>十四、资源勘探工业信息等支出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sz w:val="20"/>
              </w:rPr>
              <w:t>46</w:t>
            </w:r>
          </w:p>
        </w:tc>
        <w:tc>
          <w:tcPr>
            <w:tcW w:w="6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52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15</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2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十五、商业服务业等支出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47</w:t>
            </w:r>
          </w:p>
        </w:tc>
        <w:tc>
          <w:tcPr>
            <w:tcW w:w="6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52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16</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2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十六、金融支出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48</w:t>
            </w:r>
          </w:p>
        </w:tc>
        <w:tc>
          <w:tcPr>
            <w:tcW w:w="6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52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17</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2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十七、援助其他地区支出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49</w:t>
            </w:r>
          </w:p>
        </w:tc>
        <w:tc>
          <w:tcPr>
            <w:tcW w:w="6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52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18</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2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18"/>
                <w:szCs w:val="21"/>
              </w:rPr>
              <w:t>十八、自然资源海洋气象等支出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50</w:t>
            </w:r>
          </w:p>
        </w:tc>
        <w:tc>
          <w:tcPr>
            <w:tcW w:w="6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52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19</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2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十九、住房保障支出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51</w:t>
            </w:r>
          </w:p>
        </w:tc>
        <w:tc>
          <w:tcPr>
            <w:tcW w:w="6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52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20</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2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二十、粮油物资储备支出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52</w:t>
            </w:r>
          </w:p>
        </w:tc>
        <w:tc>
          <w:tcPr>
            <w:tcW w:w="6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52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21</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2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18"/>
                <w:szCs w:val="21"/>
              </w:rPr>
              <w:t>二十一、国有资本经营预算支出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53</w:t>
            </w:r>
          </w:p>
        </w:tc>
        <w:tc>
          <w:tcPr>
            <w:tcW w:w="6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52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22</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2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16"/>
                <w:szCs w:val="20"/>
              </w:rPr>
              <w:t>二十二、灾害防治及应急管理支出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54</w:t>
            </w:r>
          </w:p>
        </w:tc>
        <w:tc>
          <w:tcPr>
            <w:tcW w:w="6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52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23</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2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二十三、其他支出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55</w:t>
            </w:r>
          </w:p>
        </w:tc>
        <w:tc>
          <w:tcPr>
            <w:tcW w:w="6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52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24</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2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二十四、债务还本支出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56</w:t>
            </w:r>
          </w:p>
        </w:tc>
        <w:tc>
          <w:tcPr>
            <w:tcW w:w="6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52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25</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2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二十五、债务付息支出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57</w:t>
            </w:r>
          </w:p>
        </w:tc>
        <w:tc>
          <w:tcPr>
            <w:tcW w:w="6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52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26</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2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16"/>
                <w:szCs w:val="20"/>
              </w:rPr>
              <w:t>二十六、抗疫特别国债安排的支出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58</w:t>
            </w:r>
          </w:p>
        </w:tc>
        <w:tc>
          <w:tcPr>
            <w:tcW w:w="6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52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r>
              <w:rPr>
                <w:rFonts w:hint="eastAsia"/>
                <w:b/>
                <w:bCs/>
              </w:rPr>
              <w:t>本年收入合计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27</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b/>
                <w:bCs/>
                <w:color w:val="000000"/>
                <w:sz w:val="22"/>
                <w:lang w:val="en-US" w:eastAsia="zh-CN"/>
              </w:rPr>
            </w:pPr>
            <w:r>
              <w:rPr>
                <w:rFonts w:hint="eastAsia" w:ascii="宋体" w:hAnsi="宋体" w:cs="宋体"/>
                <w:b/>
                <w:bCs/>
                <w:color w:val="000000"/>
                <w:sz w:val="22"/>
                <w:lang w:val="en-US" w:eastAsia="zh-CN"/>
              </w:rPr>
              <w:t>88.37</w:t>
            </w:r>
          </w:p>
        </w:tc>
        <w:tc>
          <w:tcPr>
            <w:tcW w:w="22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rPr>
            </w:pPr>
            <w:r>
              <w:rPr>
                <w:rFonts w:hint="eastAsia"/>
                <w:b/>
                <w:bCs/>
                <w:sz w:val="20"/>
              </w:rPr>
              <w:t>本年支出合计</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59</w:t>
            </w:r>
          </w:p>
        </w:tc>
        <w:tc>
          <w:tcPr>
            <w:tcW w:w="6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default" w:ascii="宋体" w:hAnsi="宋体" w:eastAsia="宋体" w:cs="宋体"/>
                <w:b/>
                <w:bCs/>
                <w:color w:val="000000"/>
                <w:sz w:val="22"/>
                <w:lang w:val="en-US" w:eastAsia="zh-CN"/>
              </w:rPr>
            </w:pPr>
            <w:r>
              <w:rPr>
                <w:rFonts w:hint="eastAsia" w:ascii="宋体" w:hAnsi="宋体" w:cs="宋体"/>
                <w:b/>
                <w:bCs/>
                <w:color w:val="000000"/>
                <w:sz w:val="22"/>
                <w:lang w:val="en-US" w:eastAsia="zh-CN"/>
              </w:rPr>
              <w:t>88.37</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52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rPr>
            </w:pPr>
            <w:r>
              <w:rPr>
                <w:rFonts w:hint="eastAsia"/>
                <w:sz w:val="18"/>
                <w:szCs w:val="21"/>
              </w:rPr>
              <w:t>年初财政拨款结转和结余</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28</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bCs/>
                <w:color w:val="000000"/>
                <w:sz w:val="22"/>
              </w:rPr>
            </w:pPr>
          </w:p>
        </w:tc>
        <w:tc>
          <w:tcPr>
            <w:tcW w:w="22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年末财政拨款结转和结余</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60</w:t>
            </w:r>
          </w:p>
        </w:tc>
        <w:tc>
          <w:tcPr>
            <w:tcW w:w="6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b/>
                <w:bCs/>
                <w:color w:val="000000"/>
                <w:sz w:val="22"/>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52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rPr>
            </w:pPr>
            <w:r>
              <w:rPr>
                <w:rFonts w:hint="eastAsia"/>
                <w:sz w:val="18"/>
                <w:szCs w:val="21"/>
              </w:rPr>
              <w:t xml:space="preserve">  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29</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bCs/>
                <w:color w:val="000000"/>
                <w:sz w:val="22"/>
              </w:rPr>
            </w:pPr>
          </w:p>
        </w:tc>
        <w:tc>
          <w:tcPr>
            <w:tcW w:w="22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61</w:t>
            </w:r>
          </w:p>
        </w:tc>
        <w:tc>
          <w:tcPr>
            <w:tcW w:w="6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b/>
                <w:bCs/>
                <w:color w:val="000000"/>
                <w:sz w:val="22"/>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52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rPr>
            </w:pPr>
            <w:r>
              <w:rPr>
                <w:rFonts w:hint="eastAsia"/>
                <w:sz w:val="18"/>
                <w:szCs w:val="21"/>
              </w:rPr>
              <w:t xml:space="preserve">  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30</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bCs/>
                <w:color w:val="000000"/>
                <w:sz w:val="22"/>
              </w:rPr>
            </w:pPr>
          </w:p>
        </w:tc>
        <w:tc>
          <w:tcPr>
            <w:tcW w:w="22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62</w:t>
            </w:r>
          </w:p>
        </w:tc>
        <w:tc>
          <w:tcPr>
            <w:tcW w:w="6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b/>
                <w:bCs/>
                <w:color w:val="000000"/>
                <w:sz w:val="22"/>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52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rPr>
            </w:pPr>
            <w:r>
              <w:rPr>
                <w:rFonts w:hint="eastAsia"/>
                <w:sz w:val="16"/>
                <w:szCs w:val="20"/>
              </w:rPr>
              <w:t xml:space="preserve">  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31</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bCs/>
                <w:color w:val="000000"/>
                <w:sz w:val="22"/>
              </w:rPr>
            </w:pPr>
          </w:p>
        </w:tc>
        <w:tc>
          <w:tcPr>
            <w:tcW w:w="22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63</w:t>
            </w:r>
          </w:p>
        </w:tc>
        <w:tc>
          <w:tcPr>
            <w:tcW w:w="6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b/>
                <w:bCs/>
                <w:color w:val="000000"/>
                <w:sz w:val="22"/>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52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r>
              <w:rPr>
                <w:rFonts w:hint="eastAsia"/>
                <w:b/>
                <w:bCs/>
              </w:rPr>
              <w:t>总计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pPr>
            <w:r>
              <w:rPr>
                <w:rFonts w:hint="eastAsia"/>
              </w:rPr>
              <w:t>32</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b/>
                <w:bCs/>
                <w:color w:val="000000"/>
                <w:sz w:val="22"/>
                <w:lang w:val="en-US" w:eastAsia="zh-CN"/>
              </w:rPr>
            </w:pPr>
            <w:r>
              <w:rPr>
                <w:rFonts w:hint="eastAsia" w:ascii="宋体" w:hAnsi="宋体" w:cs="宋体"/>
                <w:b/>
                <w:bCs/>
                <w:color w:val="000000"/>
                <w:sz w:val="22"/>
                <w:lang w:val="en-US" w:eastAsia="zh-CN"/>
              </w:rPr>
              <w:t>88.37</w:t>
            </w:r>
          </w:p>
        </w:tc>
        <w:tc>
          <w:tcPr>
            <w:tcW w:w="22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rPr>
            </w:pPr>
            <w:r>
              <w:rPr>
                <w:rFonts w:hint="eastAsia"/>
                <w:b/>
                <w:bCs/>
                <w:sz w:val="20"/>
              </w:rPr>
              <w:t>总计</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64</w:t>
            </w:r>
          </w:p>
        </w:tc>
        <w:tc>
          <w:tcPr>
            <w:tcW w:w="6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default" w:ascii="宋体" w:hAnsi="宋体" w:eastAsia="宋体" w:cs="宋体"/>
                <w:b/>
                <w:bCs/>
                <w:color w:val="000000"/>
                <w:sz w:val="22"/>
                <w:lang w:val="en-US" w:eastAsia="zh-CN"/>
              </w:rPr>
            </w:pPr>
            <w:r>
              <w:rPr>
                <w:rFonts w:hint="eastAsia" w:ascii="宋体" w:hAnsi="宋体" w:cs="宋体"/>
                <w:b/>
                <w:bCs/>
                <w:color w:val="000000"/>
                <w:sz w:val="22"/>
                <w:lang w:val="en-US" w:eastAsia="zh-CN"/>
              </w:rPr>
              <w:t>88.37</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52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585" w:hRule="atLeast"/>
        </w:trPr>
        <w:tc>
          <w:tcPr>
            <w:tcW w:w="10830" w:type="dxa"/>
            <w:gridSpan w:val="14"/>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w:t>
            </w:r>
            <w:r>
              <w:rPr>
                <w:rFonts w:hint="eastAsia" w:ascii="宋体" w:hAnsi="宋体" w:cs="宋体"/>
                <w:color w:val="000000"/>
                <w:kern w:val="0"/>
                <w:sz w:val="24"/>
                <w:szCs w:val="24"/>
                <w:lang w:eastAsia="zh-CN"/>
              </w:rPr>
              <w:t>单位</w:t>
            </w:r>
            <w:r>
              <w:rPr>
                <w:rFonts w:hint="eastAsia" w:ascii="宋体" w:hAnsi="宋体" w:eastAsia="宋体" w:cs="宋体"/>
                <w:color w:val="000000"/>
                <w:kern w:val="0"/>
                <w:sz w:val="24"/>
                <w:szCs w:val="24"/>
              </w:rPr>
              <w:t>本年度一般公共预算财政拨款、政府性基金预算财政拨款和国有资本经营预算财政拨款的总收支和年末结转结余情况。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720" w:hRule="atLeast"/>
        </w:trPr>
        <w:tc>
          <w:tcPr>
            <w:tcW w:w="10848" w:type="dxa"/>
            <w:gridSpan w:val="15"/>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211" w:hRule="atLeast"/>
        </w:trPr>
        <w:tc>
          <w:tcPr>
            <w:tcW w:w="600" w:type="dxa"/>
            <w:shd w:val="clear" w:color="auto" w:fill="FFFFFF"/>
            <w:vAlign w:val="center"/>
          </w:tcPr>
          <w:p>
            <w:pPr>
              <w:jc w:val="center"/>
              <w:rPr>
                <w:rFonts w:ascii="宋体" w:hAnsi="宋体" w:eastAsia="宋体" w:cs="宋体"/>
                <w:color w:val="000000"/>
                <w:sz w:val="20"/>
                <w:szCs w:val="20"/>
              </w:rPr>
            </w:pPr>
          </w:p>
        </w:tc>
        <w:tc>
          <w:tcPr>
            <w:tcW w:w="564" w:type="dxa"/>
            <w:shd w:val="clear" w:color="auto" w:fill="FFFFFF"/>
            <w:vAlign w:val="center"/>
          </w:tcPr>
          <w:p>
            <w:pPr>
              <w:jc w:val="center"/>
              <w:rPr>
                <w:rFonts w:ascii="宋体" w:hAnsi="宋体" w:eastAsia="宋体" w:cs="宋体"/>
                <w:color w:val="000000"/>
                <w:sz w:val="20"/>
                <w:szCs w:val="20"/>
              </w:rPr>
            </w:pPr>
          </w:p>
        </w:tc>
        <w:tc>
          <w:tcPr>
            <w:tcW w:w="3337" w:type="dxa"/>
            <w:gridSpan w:val="4"/>
            <w:shd w:val="clear" w:color="auto" w:fill="FFFFFF"/>
            <w:vAlign w:val="center"/>
          </w:tcPr>
          <w:p>
            <w:pPr>
              <w:jc w:val="center"/>
              <w:rPr>
                <w:rFonts w:ascii="宋体" w:hAnsi="宋体" w:eastAsia="宋体" w:cs="宋体"/>
                <w:color w:val="000000"/>
                <w:sz w:val="20"/>
                <w:szCs w:val="20"/>
              </w:rPr>
            </w:pPr>
          </w:p>
        </w:tc>
        <w:tc>
          <w:tcPr>
            <w:tcW w:w="1891" w:type="dxa"/>
            <w:gridSpan w:val="3"/>
            <w:shd w:val="clear" w:color="auto" w:fill="FFFFFF"/>
            <w:vAlign w:val="center"/>
          </w:tcPr>
          <w:p>
            <w:pPr>
              <w:rPr>
                <w:rFonts w:ascii="宋体" w:hAnsi="宋体" w:eastAsia="宋体" w:cs="宋体"/>
                <w:color w:val="000000"/>
                <w:sz w:val="20"/>
                <w:szCs w:val="20"/>
              </w:rPr>
            </w:pPr>
          </w:p>
        </w:tc>
        <w:tc>
          <w:tcPr>
            <w:tcW w:w="2176" w:type="dxa"/>
            <w:gridSpan w:val="3"/>
            <w:shd w:val="clear" w:color="auto" w:fill="FFFFFF"/>
            <w:vAlign w:val="center"/>
          </w:tcPr>
          <w:p>
            <w:pPr>
              <w:rPr>
                <w:rFonts w:ascii="宋体" w:hAnsi="宋体" w:eastAsia="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w:t>
            </w:r>
            <w:r>
              <w:rPr>
                <w:rStyle w:val="10"/>
                <w:rFonts w:hint="default"/>
              </w:rPr>
              <w:t>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60" w:hRule="atLeast"/>
        </w:trPr>
        <w:tc>
          <w:tcPr>
            <w:tcW w:w="600"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cs="宋体"/>
                <w:color w:val="000000"/>
                <w:kern w:val="0"/>
                <w:sz w:val="20"/>
                <w:szCs w:val="20"/>
                <w:lang w:eastAsia="zh-CN"/>
              </w:rPr>
              <w:t>单位</w:t>
            </w:r>
            <w:r>
              <w:rPr>
                <w:rFonts w:hint="eastAsia" w:ascii="宋体" w:hAnsi="宋体" w:eastAsia="宋体" w:cs="宋体"/>
                <w:color w:val="000000"/>
                <w:kern w:val="0"/>
                <w:sz w:val="20"/>
                <w:szCs w:val="20"/>
              </w:rPr>
              <w:t>：</w:t>
            </w:r>
          </w:p>
        </w:tc>
        <w:tc>
          <w:tcPr>
            <w:tcW w:w="3901" w:type="dxa"/>
            <w:gridSpan w:val="5"/>
            <w:shd w:val="clear" w:color="auto" w:fill="FFFFFF"/>
            <w:vAlign w:val="center"/>
          </w:tcPr>
          <w:p>
            <w:pPr>
              <w:jc w:val="left"/>
              <w:rPr>
                <w:rFonts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ascii="宋体" w:hAnsi="宋体" w:cs="宋体"/>
                <w:color w:val="000000"/>
                <w:sz w:val="20"/>
                <w:szCs w:val="20"/>
                <w:lang w:eastAsia="zh-CN"/>
              </w:rPr>
              <w:t>保定外事服务中心</w:t>
            </w:r>
            <w:r>
              <w:rPr>
                <w:rFonts w:hint="eastAsia" w:ascii="宋体" w:hAnsi="宋体" w:eastAsia="宋体" w:cs="宋体"/>
                <w:color w:val="000000"/>
                <w:sz w:val="20"/>
                <w:szCs w:val="20"/>
              </w:rPr>
              <w:t xml:space="preserve">            </w:t>
            </w:r>
          </w:p>
        </w:tc>
        <w:tc>
          <w:tcPr>
            <w:tcW w:w="1891" w:type="dxa"/>
            <w:gridSpan w:val="3"/>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176" w:type="dxa"/>
            <w:gridSpan w:val="3"/>
            <w:shd w:val="clear" w:color="auto" w:fill="FFFFFF"/>
            <w:vAlign w:val="center"/>
          </w:tcPr>
          <w:p>
            <w:pPr>
              <w:rPr>
                <w:rFonts w:ascii="宋体" w:hAnsi="宋体" w:eastAsia="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675" w:hRule="atLeast"/>
        </w:trPr>
        <w:tc>
          <w:tcPr>
            <w:tcW w:w="450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项 </w:t>
            </w:r>
            <w:r>
              <w:rPr>
                <w:rStyle w:val="11"/>
                <w:rFonts w:hint="default"/>
              </w:rPr>
              <w:t xml:space="preserve">   </w:t>
            </w:r>
            <w:r>
              <w:rPr>
                <w:rStyle w:val="12"/>
                <w:rFonts w:hint="default"/>
              </w:rPr>
              <w:t>目</w:t>
            </w:r>
          </w:p>
        </w:tc>
        <w:tc>
          <w:tcPr>
            <w:tcW w:w="6347"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116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3337"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1891"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小计</w:t>
            </w:r>
          </w:p>
        </w:tc>
        <w:tc>
          <w:tcPr>
            <w:tcW w:w="2176"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基本支出  </w:t>
            </w:r>
          </w:p>
        </w:tc>
        <w:tc>
          <w:tcPr>
            <w:tcW w:w="228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116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3337"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891"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176"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116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3337"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891"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176"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450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189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217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228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450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1891"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b/>
                <w:bCs/>
                <w:color w:val="000000"/>
                <w:sz w:val="24"/>
                <w:lang w:val="en-US" w:eastAsia="zh-CN"/>
              </w:rPr>
            </w:pPr>
            <w:r>
              <w:rPr>
                <w:rFonts w:hint="eastAsia" w:ascii="宋体" w:hAnsi="宋体" w:cs="宋体"/>
                <w:b/>
                <w:bCs/>
                <w:color w:val="000000"/>
                <w:sz w:val="24"/>
                <w:lang w:val="en-US" w:eastAsia="zh-CN"/>
              </w:rPr>
              <w:t>88.37</w:t>
            </w:r>
          </w:p>
        </w:tc>
        <w:tc>
          <w:tcPr>
            <w:tcW w:w="2176"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bCs/>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b/>
                <w:bCs/>
                <w:color w:val="000000"/>
                <w:sz w:val="24"/>
                <w:lang w:val="en-US" w:eastAsia="zh-CN"/>
              </w:rPr>
            </w:pPr>
            <w:r>
              <w:rPr>
                <w:rFonts w:hint="eastAsia" w:ascii="宋体" w:hAnsi="宋体" w:cs="宋体"/>
                <w:b/>
                <w:bCs/>
                <w:color w:val="000000"/>
                <w:sz w:val="24"/>
                <w:lang w:val="en-US" w:eastAsia="zh-CN"/>
              </w:rPr>
              <w:t>88.37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w:t>
            </w:r>
          </w:p>
        </w:tc>
        <w:tc>
          <w:tcPr>
            <w:tcW w:w="3337"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一般公共服务支出</w:t>
            </w:r>
          </w:p>
        </w:tc>
        <w:tc>
          <w:tcPr>
            <w:tcW w:w="1891"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4"/>
                <w:lang w:val="en-US" w:eastAsia="zh-CN"/>
              </w:rPr>
            </w:pPr>
            <w:r>
              <w:rPr>
                <w:rFonts w:hint="eastAsia" w:ascii="宋体" w:hAnsi="宋体" w:cs="宋体"/>
                <w:color w:val="000000"/>
                <w:sz w:val="24"/>
                <w:lang w:val="en-US" w:eastAsia="zh-CN"/>
              </w:rPr>
              <w:t>88.37</w:t>
            </w:r>
          </w:p>
        </w:tc>
        <w:tc>
          <w:tcPr>
            <w:tcW w:w="2176"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4"/>
                <w:lang w:val="en-US" w:eastAsia="zh-CN"/>
              </w:rPr>
            </w:pPr>
            <w:r>
              <w:rPr>
                <w:rFonts w:hint="eastAsia" w:ascii="宋体" w:hAnsi="宋体" w:cs="宋体"/>
                <w:color w:val="000000"/>
                <w:sz w:val="24"/>
                <w:lang w:val="en-US" w:eastAsia="zh-CN"/>
              </w:rPr>
              <w:t>88.37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20103</w:t>
            </w:r>
          </w:p>
        </w:tc>
        <w:tc>
          <w:tcPr>
            <w:tcW w:w="3337"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891"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88.37</w:t>
            </w:r>
          </w:p>
        </w:tc>
        <w:tc>
          <w:tcPr>
            <w:tcW w:w="2176"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88.37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2010350</w:t>
            </w:r>
          </w:p>
        </w:tc>
        <w:tc>
          <w:tcPr>
            <w:tcW w:w="3337"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891"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88.37</w:t>
            </w:r>
          </w:p>
        </w:tc>
        <w:tc>
          <w:tcPr>
            <w:tcW w:w="2176"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r>
              <w:rPr>
                <w:rFonts w:hint="eastAsia" w:ascii="宋体" w:hAnsi="宋体" w:cs="宋体"/>
                <w:color w:val="000000"/>
                <w:sz w:val="24"/>
                <w:lang w:val="en-US" w:eastAsia="zh-CN"/>
              </w:rPr>
              <w:t>88.37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3337" w:type="dxa"/>
            <w:gridSpan w:val="4"/>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891"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17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3337" w:type="dxa"/>
            <w:gridSpan w:val="4"/>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891"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17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3337" w:type="dxa"/>
            <w:gridSpan w:val="4"/>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891"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17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930" w:hRule="atLeast"/>
        </w:trPr>
        <w:tc>
          <w:tcPr>
            <w:tcW w:w="10848" w:type="dxa"/>
            <w:gridSpan w:val="15"/>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w:t>
            </w:r>
            <w:r>
              <w:rPr>
                <w:rFonts w:hint="eastAsia" w:ascii="宋体" w:hAnsi="宋体" w:cs="宋体"/>
                <w:color w:val="000000"/>
                <w:kern w:val="0"/>
                <w:sz w:val="24"/>
                <w:szCs w:val="24"/>
                <w:lang w:eastAsia="zh-CN"/>
              </w:rPr>
              <w:t>单位</w:t>
            </w:r>
            <w:r>
              <w:rPr>
                <w:rFonts w:hint="eastAsia" w:ascii="宋体" w:hAnsi="宋体" w:eastAsia="宋体" w:cs="宋体"/>
                <w:color w:val="000000"/>
                <w:kern w:val="0"/>
                <w:sz w:val="24"/>
                <w:szCs w:val="24"/>
              </w:rPr>
              <w:t>本年度一般公共预算财政拨款支出情况。</w:t>
            </w:r>
          </w:p>
        </w:tc>
      </w:tr>
    </w:tbl>
    <w:p>
      <w:pPr>
        <w:sectPr>
          <w:pgSz w:w="11906" w:h="16838"/>
          <w:pgMar w:top="567" w:right="567" w:bottom="567" w:left="567" w:header="851" w:footer="992" w:gutter="0"/>
          <w:cols w:space="720" w:num="1"/>
          <w:docGrid w:type="lines" w:linePitch="312" w:charSpace="0"/>
        </w:sectPr>
      </w:pPr>
    </w:p>
    <w:tbl>
      <w:tblPr>
        <w:tblStyle w:val="6"/>
        <w:tblW w:w="154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67"/>
        <w:gridCol w:w="2138"/>
        <w:gridCol w:w="862"/>
        <w:gridCol w:w="638"/>
        <w:gridCol w:w="1668"/>
        <w:gridCol w:w="938"/>
        <w:gridCol w:w="619"/>
        <w:gridCol w:w="2250"/>
        <w:gridCol w:w="1034"/>
        <w:gridCol w:w="4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1" w:hRule="atLeast"/>
        </w:trPr>
        <w:tc>
          <w:tcPr>
            <w:tcW w:w="15429" w:type="dxa"/>
            <w:gridSpan w:val="10"/>
            <w:vAlign w:val="center"/>
          </w:tcPr>
          <w:p>
            <w:pPr>
              <w:widowControl/>
              <w:ind w:firstLine="2240" w:firstLineChars="700"/>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一般公共预算财政拨款基本支出决算</w:t>
            </w:r>
            <w:r>
              <w:rPr>
                <w:rStyle w:val="13"/>
                <w:rFonts w:hint="default"/>
              </w:rPr>
              <w:t>明细</w:t>
            </w:r>
            <w:r>
              <w:rPr>
                <w:rStyle w:val="14"/>
                <w:rFonts w:hint="default"/>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197" w:hRule="atLeast"/>
        </w:trPr>
        <w:tc>
          <w:tcPr>
            <w:tcW w:w="667" w:type="dxa"/>
            <w:shd w:val="clear" w:color="auto" w:fill="FFFFFF"/>
            <w:vAlign w:val="center"/>
          </w:tcPr>
          <w:p>
            <w:pPr>
              <w:jc w:val="center"/>
              <w:rPr>
                <w:rFonts w:ascii="宋体" w:hAnsi="宋体" w:eastAsia="宋体" w:cs="宋体"/>
                <w:color w:val="000000"/>
                <w:sz w:val="20"/>
                <w:szCs w:val="20"/>
              </w:rPr>
            </w:pPr>
          </w:p>
        </w:tc>
        <w:tc>
          <w:tcPr>
            <w:tcW w:w="2138" w:type="dxa"/>
            <w:shd w:val="clear" w:color="auto" w:fill="FFFFFF"/>
            <w:vAlign w:val="center"/>
          </w:tcPr>
          <w:p>
            <w:pPr>
              <w:jc w:val="center"/>
              <w:rPr>
                <w:rFonts w:ascii="宋体" w:hAnsi="宋体" w:eastAsia="宋体" w:cs="宋体"/>
                <w:color w:val="000000"/>
                <w:sz w:val="20"/>
                <w:szCs w:val="20"/>
              </w:rPr>
            </w:pPr>
          </w:p>
        </w:tc>
        <w:tc>
          <w:tcPr>
            <w:tcW w:w="862" w:type="dxa"/>
            <w:shd w:val="clear" w:color="auto" w:fill="FFFFFF"/>
            <w:vAlign w:val="center"/>
          </w:tcPr>
          <w:p>
            <w:pPr>
              <w:jc w:val="center"/>
              <w:rPr>
                <w:rFonts w:ascii="宋体" w:hAnsi="宋体" w:eastAsia="宋体" w:cs="宋体"/>
                <w:color w:val="000000"/>
                <w:sz w:val="20"/>
                <w:szCs w:val="20"/>
              </w:rPr>
            </w:pPr>
          </w:p>
        </w:tc>
        <w:tc>
          <w:tcPr>
            <w:tcW w:w="638" w:type="dxa"/>
            <w:shd w:val="clear" w:color="auto" w:fill="FFFFFF"/>
            <w:vAlign w:val="center"/>
          </w:tcPr>
          <w:p>
            <w:pPr>
              <w:rPr>
                <w:rFonts w:ascii="宋体" w:hAnsi="宋体" w:eastAsia="宋体" w:cs="宋体"/>
                <w:color w:val="000000"/>
                <w:sz w:val="20"/>
                <w:szCs w:val="20"/>
              </w:rPr>
            </w:pPr>
          </w:p>
        </w:tc>
        <w:tc>
          <w:tcPr>
            <w:tcW w:w="1668" w:type="dxa"/>
            <w:shd w:val="clear" w:color="auto" w:fill="FFFFFF"/>
            <w:vAlign w:val="center"/>
          </w:tcPr>
          <w:p>
            <w:pPr>
              <w:rPr>
                <w:rFonts w:ascii="宋体" w:hAnsi="宋体" w:eastAsia="宋体" w:cs="宋体"/>
                <w:color w:val="000000"/>
                <w:sz w:val="20"/>
                <w:szCs w:val="20"/>
              </w:rPr>
            </w:pPr>
          </w:p>
        </w:tc>
        <w:tc>
          <w:tcPr>
            <w:tcW w:w="938" w:type="dxa"/>
            <w:shd w:val="clear" w:color="auto" w:fill="FFFFFF"/>
            <w:vAlign w:val="center"/>
          </w:tcPr>
          <w:p>
            <w:pPr>
              <w:rPr>
                <w:rFonts w:ascii="宋体" w:hAnsi="宋体" w:eastAsia="宋体" w:cs="宋体"/>
                <w:color w:val="000000"/>
                <w:sz w:val="20"/>
                <w:szCs w:val="20"/>
              </w:rPr>
            </w:pPr>
          </w:p>
        </w:tc>
        <w:tc>
          <w:tcPr>
            <w:tcW w:w="619" w:type="dxa"/>
            <w:shd w:val="clear" w:color="auto" w:fill="FFFFFF"/>
            <w:vAlign w:val="center"/>
          </w:tcPr>
          <w:p>
            <w:pPr>
              <w:rPr>
                <w:rFonts w:ascii="宋体" w:hAnsi="宋体" w:eastAsia="宋体" w:cs="宋体"/>
                <w:color w:val="000000"/>
                <w:sz w:val="20"/>
                <w:szCs w:val="20"/>
              </w:rPr>
            </w:pPr>
          </w:p>
        </w:tc>
        <w:tc>
          <w:tcPr>
            <w:tcW w:w="2250" w:type="dxa"/>
            <w:shd w:val="clear" w:color="auto" w:fill="FFFFFF"/>
            <w:vAlign w:val="center"/>
          </w:tcPr>
          <w:p>
            <w:pPr>
              <w:rPr>
                <w:rFonts w:ascii="宋体" w:hAnsi="宋体" w:eastAsia="宋体" w:cs="宋体"/>
                <w:color w:val="000000"/>
                <w:sz w:val="20"/>
                <w:szCs w:val="20"/>
              </w:rPr>
            </w:pPr>
          </w:p>
        </w:tc>
        <w:tc>
          <w:tcPr>
            <w:tcW w:w="1034"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301" w:hRule="atLeast"/>
        </w:trPr>
        <w:tc>
          <w:tcPr>
            <w:tcW w:w="667" w:type="dxa"/>
            <w:vAlign w:val="center"/>
          </w:tcPr>
          <w:p>
            <w:pPr>
              <w:widowControl/>
              <w:jc w:val="left"/>
              <w:textAlignment w:val="center"/>
              <w:rPr>
                <w:rFonts w:ascii="宋体" w:hAnsi="宋体" w:eastAsia="宋体" w:cs="宋体"/>
                <w:color w:val="000000"/>
                <w:sz w:val="20"/>
                <w:szCs w:val="20"/>
              </w:rPr>
            </w:pPr>
            <w:r>
              <w:rPr>
                <w:rFonts w:hint="eastAsia" w:ascii="宋体" w:hAnsi="宋体" w:cs="宋体"/>
                <w:color w:val="000000"/>
                <w:kern w:val="0"/>
                <w:sz w:val="20"/>
                <w:szCs w:val="20"/>
                <w:lang w:eastAsia="zh-CN"/>
              </w:rPr>
              <w:t>单位</w:t>
            </w:r>
            <w:r>
              <w:rPr>
                <w:rFonts w:hint="eastAsia" w:ascii="宋体" w:hAnsi="宋体" w:eastAsia="宋体" w:cs="宋体"/>
                <w:color w:val="000000"/>
                <w:kern w:val="0"/>
                <w:sz w:val="20"/>
                <w:szCs w:val="20"/>
              </w:rPr>
              <w:t>：</w:t>
            </w:r>
          </w:p>
        </w:tc>
        <w:tc>
          <w:tcPr>
            <w:tcW w:w="3638" w:type="dxa"/>
            <w:gridSpan w:val="3"/>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保定外事服务中心</w:t>
            </w:r>
          </w:p>
        </w:tc>
        <w:tc>
          <w:tcPr>
            <w:tcW w:w="1668" w:type="dxa"/>
            <w:vAlign w:val="center"/>
          </w:tcPr>
          <w:p>
            <w:pPr>
              <w:ind w:firstLine="600" w:firstLineChars="3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938" w:type="dxa"/>
            <w:vAlign w:val="center"/>
          </w:tcPr>
          <w:p>
            <w:pPr>
              <w:rPr>
                <w:rFonts w:ascii="宋体" w:hAnsi="宋体" w:eastAsia="宋体" w:cs="宋体"/>
                <w:color w:val="000000"/>
                <w:sz w:val="20"/>
                <w:szCs w:val="20"/>
              </w:rPr>
            </w:pPr>
          </w:p>
        </w:tc>
        <w:tc>
          <w:tcPr>
            <w:tcW w:w="619" w:type="dxa"/>
            <w:vAlign w:val="center"/>
          </w:tcPr>
          <w:p>
            <w:pPr>
              <w:rPr>
                <w:rFonts w:ascii="宋体" w:hAnsi="宋体" w:eastAsia="宋体" w:cs="宋体"/>
                <w:color w:val="000000"/>
                <w:sz w:val="20"/>
                <w:szCs w:val="20"/>
              </w:rPr>
            </w:pPr>
          </w:p>
        </w:tc>
        <w:tc>
          <w:tcPr>
            <w:tcW w:w="2250" w:type="dxa"/>
            <w:vAlign w:val="center"/>
          </w:tcPr>
          <w:p>
            <w:pPr>
              <w:rPr>
                <w:rFonts w:ascii="宋体" w:hAnsi="宋体" w:eastAsia="宋体" w:cs="宋体"/>
                <w:color w:val="000000"/>
                <w:sz w:val="20"/>
                <w:szCs w:val="20"/>
              </w:rPr>
            </w:pPr>
          </w:p>
        </w:tc>
        <w:tc>
          <w:tcPr>
            <w:tcW w:w="1034" w:type="dxa"/>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548"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科目代码</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决算数</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科目代码</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9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决算数</w:t>
            </w: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科目代码</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30101</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基本工资</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30201</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30701</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国内债务付息</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30102</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津贴补贴</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30202</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印刷费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30702</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国外债务付息</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30103</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奖金</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30203</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咨询费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30106</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伙食补助费</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30204</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手续费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31001</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房屋建筑物购建</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30107</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绩效工资</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30205</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水费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31002</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办公设备购置</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30108</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机关事业单位基本养老保险缴费</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30206</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电费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31003</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专用设备购置</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30109</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职业年金缴费</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30207</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邮电费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31005</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基础设施建设</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30110</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职工基本医疗保险缴费</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30208</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取暖费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31006</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大型修缮</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30111</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公务员医疗补助缴费</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30209</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31007</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信息网络及软件购置更新</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30112</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其他社会保障缴费</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30211</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差旅费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31008</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物资储备</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30113</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住房公积金</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30212</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16"/>
                <w:szCs w:val="16"/>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31009</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土地补偿</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30114</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医疗费</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30213</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维修（护）费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31010</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安置补助</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30199</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其他工资福利支出</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30214</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租赁费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31011</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地上附着物和青苗补偿</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30215</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会议费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31012</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拆迁补偿</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30301</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离休费</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30216</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培训费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31013</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公务用车购置</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30302</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退休费</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30217</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公务接待费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31019</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其他交通工具购置</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30303</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退职（役）费</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30218</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31021</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文物和陈列品购置</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30304</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抚恤金</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30224</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31022</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无形资产购置</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30305</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生活补助</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30225</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31099</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其他资本性支出</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30306</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救济费</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30226</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劳务费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ind w:left="214" w:leftChars="102"/>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30307</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医疗费补助</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30227</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39907</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国家赔偿费用支出</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30308</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助学金</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30228</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工会经费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39908</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对民间非营利组织和群众性自治组织补贴</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30309</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奖励金</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30229</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福利费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39909</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经常性赠与</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30310</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个人农业生产补贴</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30231</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16"/>
                <w:szCs w:val="16"/>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39910</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资本性赠与</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30311</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代缴社会保险费</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30239</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39999</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其他支出</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30399</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其他对个人和家庭的补助</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30240</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399"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21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30299</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16"/>
                <w:szCs w:val="16"/>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28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13"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5429" w:type="dxa"/>
            <w:gridSpan w:val="10"/>
            <w:vAlign w:val="center"/>
          </w:tcPr>
          <w:p>
            <w:pPr>
              <w:widowControl/>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注：本表反映</w:t>
            </w:r>
            <w:r>
              <w:rPr>
                <w:rFonts w:hint="eastAsia" w:ascii="宋体" w:hAnsi="宋体" w:cs="宋体"/>
                <w:color w:val="000000"/>
                <w:kern w:val="0"/>
                <w:sz w:val="24"/>
                <w:szCs w:val="24"/>
                <w:lang w:eastAsia="zh-CN"/>
              </w:rPr>
              <w:t>单位</w:t>
            </w:r>
            <w:r>
              <w:rPr>
                <w:rFonts w:hint="eastAsia" w:ascii="宋体" w:hAnsi="宋体" w:eastAsia="宋体" w:cs="宋体"/>
                <w:color w:val="000000"/>
                <w:kern w:val="0"/>
                <w:sz w:val="24"/>
                <w:szCs w:val="24"/>
              </w:rPr>
              <w:t>本年度一般公共预算财政拨款基本支出明细情况。</w:t>
            </w:r>
          </w:p>
          <w:p>
            <w:pPr>
              <w:widowControl/>
              <w:ind w:firstLine="480" w:firstLineChars="200"/>
              <w:jc w:val="left"/>
              <w:textAlignment w:val="center"/>
              <w:rPr>
                <w:rFonts w:hint="eastAsia" w:ascii="宋体" w:hAnsi="宋体" w:eastAsia="宋体" w:cs="宋体"/>
                <w:color w:val="000000"/>
                <w:sz w:val="24"/>
                <w:lang w:eastAsia="zh-CN"/>
              </w:rPr>
            </w:pPr>
            <w:r>
              <w:rPr>
                <w:rFonts w:hint="eastAsia" w:ascii="宋体" w:hAnsi="宋体" w:cs="宋体"/>
                <w:color w:val="000000"/>
                <w:kern w:val="0"/>
                <w:sz w:val="24"/>
                <w:szCs w:val="24"/>
                <w:lang w:eastAsia="zh-CN"/>
              </w:rPr>
              <w:t>本单位本年度未发生相关支出，按要求空表列示。</w:t>
            </w:r>
          </w:p>
        </w:tc>
      </w:tr>
    </w:tbl>
    <w:p>
      <w:pPr>
        <w:sectPr>
          <w:pgSz w:w="11906" w:h="16838"/>
          <w:pgMar w:top="567" w:right="567" w:bottom="567" w:left="567" w:header="851" w:footer="992" w:gutter="0"/>
          <w:cols w:space="720" w:num="1"/>
          <w:docGrid w:type="lines" w:linePitch="312" w:charSpace="0"/>
        </w:sectPr>
      </w:pPr>
    </w:p>
    <w:tbl>
      <w:tblPr>
        <w:tblStyle w:val="6"/>
        <w:tblW w:w="103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55"/>
        <w:gridCol w:w="1080"/>
        <w:gridCol w:w="1321"/>
        <w:gridCol w:w="1996"/>
        <w:gridCol w:w="1080"/>
        <w:gridCol w:w="1080"/>
        <w:gridCol w:w="1080"/>
        <w:gridCol w:w="1081"/>
        <w:gridCol w:w="1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0350"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1" w:hRule="atLeast"/>
        </w:trPr>
        <w:tc>
          <w:tcPr>
            <w:tcW w:w="555"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1321" w:type="dxa"/>
            <w:shd w:val="clear" w:color="auto" w:fill="FFFFFF"/>
            <w:vAlign w:val="center"/>
          </w:tcPr>
          <w:p>
            <w:pPr>
              <w:jc w:val="center"/>
              <w:rPr>
                <w:rFonts w:ascii="宋体" w:hAnsi="宋体" w:eastAsia="宋体" w:cs="宋体"/>
                <w:color w:val="000000"/>
                <w:sz w:val="20"/>
                <w:szCs w:val="20"/>
              </w:rPr>
            </w:pPr>
          </w:p>
        </w:tc>
        <w:tc>
          <w:tcPr>
            <w:tcW w:w="1996"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1" w:type="dxa"/>
            <w:shd w:val="clear" w:color="auto" w:fill="auto"/>
            <w:vAlign w:val="bottom"/>
          </w:tcPr>
          <w:p>
            <w:pPr>
              <w:rPr>
                <w:rFonts w:ascii="宋体" w:hAnsi="宋体" w:eastAsia="宋体" w:cs="宋体"/>
                <w:color w:val="000000"/>
                <w:sz w:val="24"/>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55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cs="宋体"/>
                <w:color w:val="000000"/>
                <w:kern w:val="0"/>
                <w:sz w:val="20"/>
                <w:szCs w:val="20"/>
                <w:lang w:eastAsia="zh-CN"/>
              </w:rPr>
              <w:t>单位</w:t>
            </w:r>
            <w:r>
              <w:rPr>
                <w:rFonts w:hint="eastAsia" w:ascii="宋体" w:hAnsi="宋体" w:eastAsia="宋体" w:cs="宋体"/>
                <w:color w:val="000000"/>
                <w:kern w:val="0"/>
                <w:sz w:val="20"/>
                <w:szCs w:val="20"/>
              </w:rPr>
              <w:t>：</w:t>
            </w:r>
          </w:p>
        </w:tc>
        <w:tc>
          <w:tcPr>
            <w:tcW w:w="4397" w:type="dxa"/>
            <w:gridSpan w:val="3"/>
            <w:shd w:val="clear" w:color="auto" w:fill="FFFFFF"/>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保定外事服务中心</w:t>
            </w:r>
          </w:p>
        </w:tc>
        <w:tc>
          <w:tcPr>
            <w:tcW w:w="1080"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80"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p>
        </w:tc>
        <w:tc>
          <w:tcPr>
            <w:tcW w:w="1081" w:type="dxa"/>
            <w:shd w:val="clear" w:color="auto" w:fill="FFFFFF"/>
            <w:vAlign w:val="center"/>
          </w:tcPr>
          <w:p>
            <w:pPr>
              <w:rPr>
                <w:rFonts w:ascii="宋体" w:hAnsi="宋体" w:eastAsia="宋体" w:cs="宋体"/>
                <w:color w:val="000000"/>
                <w:sz w:val="20"/>
                <w:szCs w:val="20"/>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295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项 </w:t>
            </w:r>
            <w:r>
              <w:rPr>
                <w:rFonts w:hint="eastAsia" w:ascii="宋体" w:hAnsi="宋体" w:eastAsia="宋体" w:cs="宋体"/>
                <w:color w:val="000000"/>
                <w:kern w:val="0"/>
                <w:sz w:val="22"/>
              </w:rPr>
              <w:t xml:space="preserve">   </w:t>
            </w:r>
            <w:r>
              <w:rPr>
                <w:rStyle w:val="15"/>
                <w:rFonts w:hint="default"/>
              </w:rPr>
              <w:t>目</w:t>
            </w:r>
          </w:p>
        </w:tc>
        <w:tc>
          <w:tcPr>
            <w:tcW w:w="199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年初结转和结余</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本年收入</w:t>
            </w:r>
          </w:p>
        </w:tc>
        <w:tc>
          <w:tcPr>
            <w:tcW w:w="324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w:t>
            </w:r>
          </w:p>
        </w:tc>
        <w:tc>
          <w:tcPr>
            <w:tcW w:w="10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132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19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小计</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基本支出  </w:t>
            </w:r>
          </w:p>
        </w:tc>
        <w:tc>
          <w:tcPr>
            <w:tcW w:w="108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c>
          <w:tcPr>
            <w:tcW w:w="10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19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19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trPr>
        <w:tc>
          <w:tcPr>
            <w:tcW w:w="10350" w:type="dxa"/>
            <w:gridSpan w:val="9"/>
            <w:vAlign w:val="center"/>
          </w:tcPr>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注：本表反映</w:t>
            </w:r>
            <w:r>
              <w:rPr>
                <w:rFonts w:hint="eastAsia" w:ascii="宋体" w:hAnsi="宋体" w:cs="宋体"/>
                <w:color w:val="000000"/>
                <w:kern w:val="0"/>
                <w:sz w:val="24"/>
                <w:szCs w:val="24"/>
                <w:lang w:eastAsia="zh-CN"/>
              </w:rPr>
              <w:t>单位</w:t>
            </w:r>
            <w:r>
              <w:rPr>
                <w:rFonts w:hint="eastAsia" w:ascii="宋体" w:hAnsi="宋体" w:eastAsia="宋体" w:cs="宋体"/>
                <w:color w:val="000000"/>
                <w:kern w:val="0"/>
                <w:sz w:val="24"/>
                <w:szCs w:val="24"/>
              </w:rPr>
              <w:t>本年度政府性基金预算财政拨款收入、支出及结转和结余情况。</w:t>
            </w:r>
          </w:p>
          <w:p>
            <w:pPr>
              <w:ind w:firstLine="480" w:firstLineChars="200"/>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本单位本年度无相关收入、支出及结转结余情况，按要求空表列示。</w:t>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720" w:num="1"/>
          <w:docGrid w:type="lines" w:linePitch="312" w:charSpace="0"/>
        </w:sectPr>
      </w:pPr>
    </w:p>
    <w:tbl>
      <w:tblPr>
        <w:tblStyle w:val="6"/>
        <w:tblW w:w="104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16"/>
        <w:gridCol w:w="176"/>
        <w:gridCol w:w="819"/>
        <w:gridCol w:w="1056"/>
        <w:gridCol w:w="2419"/>
        <w:gridCol w:w="762"/>
        <w:gridCol w:w="1036"/>
        <w:gridCol w:w="977"/>
        <w:gridCol w:w="21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10422"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16" w:type="dxa"/>
            <w:shd w:val="clear" w:color="auto" w:fill="FFFFFF"/>
            <w:vAlign w:val="center"/>
          </w:tcPr>
          <w:p>
            <w:pPr>
              <w:jc w:val="center"/>
              <w:rPr>
                <w:rFonts w:ascii="宋体" w:hAnsi="宋体" w:eastAsia="宋体" w:cs="宋体"/>
                <w:color w:val="000000"/>
                <w:sz w:val="20"/>
                <w:szCs w:val="20"/>
              </w:rPr>
            </w:pPr>
          </w:p>
        </w:tc>
        <w:tc>
          <w:tcPr>
            <w:tcW w:w="995" w:type="dxa"/>
            <w:gridSpan w:val="2"/>
            <w:shd w:val="clear" w:color="auto" w:fill="FFFFFF"/>
            <w:vAlign w:val="center"/>
          </w:tcPr>
          <w:p>
            <w:pPr>
              <w:jc w:val="center"/>
              <w:rPr>
                <w:rFonts w:ascii="宋体" w:hAnsi="宋体" w:eastAsia="宋体" w:cs="宋体"/>
                <w:color w:val="000000"/>
                <w:sz w:val="20"/>
                <w:szCs w:val="20"/>
              </w:rPr>
            </w:pPr>
          </w:p>
        </w:tc>
        <w:tc>
          <w:tcPr>
            <w:tcW w:w="1056" w:type="dxa"/>
            <w:shd w:val="clear" w:color="auto" w:fill="FFFFFF"/>
            <w:vAlign w:val="center"/>
          </w:tcPr>
          <w:p>
            <w:pPr>
              <w:jc w:val="center"/>
              <w:rPr>
                <w:rFonts w:ascii="宋体" w:hAnsi="宋体" w:eastAsia="宋体" w:cs="宋体"/>
                <w:color w:val="000000"/>
                <w:sz w:val="20"/>
                <w:szCs w:val="20"/>
              </w:rPr>
            </w:pPr>
          </w:p>
        </w:tc>
        <w:tc>
          <w:tcPr>
            <w:tcW w:w="3181" w:type="dxa"/>
            <w:gridSpan w:val="2"/>
            <w:shd w:val="clear" w:color="auto" w:fill="FFFFFF"/>
            <w:vAlign w:val="center"/>
          </w:tcPr>
          <w:p>
            <w:pPr>
              <w:rPr>
                <w:rFonts w:ascii="宋体" w:hAnsi="宋体" w:eastAsia="宋体" w:cs="宋体"/>
                <w:color w:val="000000"/>
                <w:sz w:val="20"/>
                <w:szCs w:val="20"/>
              </w:rPr>
            </w:pP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067" w:type="dxa"/>
            <w:gridSpan w:val="4"/>
            <w:shd w:val="clear" w:color="auto" w:fill="FFFFFF"/>
            <w:vAlign w:val="center"/>
          </w:tcPr>
          <w:p>
            <w:pPr>
              <w:jc w:val="left"/>
              <w:rPr>
                <w:rFonts w:hint="eastAsia" w:ascii="宋体" w:hAnsi="宋体" w:eastAsia="宋体" w:cs="宋体"/>
                <w:color w:val="000000"/>
                <w:sz w:val="20"/>
                <w:szCs w:val="20"/>
                <w:lang w:eastAsia="zh-CN"/>
              </w:rPr>
            </w:pPr>
            <w:r>
              <w:rPr>
                <w:rFonts w:hint="eastAsia" w:ascii="宋体" w:hAnsi="宋体" w:cs="宋体"/>
                <w:color w:val="000000"/>
                <w:kern w:val="0"/>
                <w:sz w:val="20"/>
                <w:szCs w:val="20"/>
                <w:lang w:eastAsia="zh-CN"/>
              </w:rPr>
              <w:t>单位</w:t>
            </w:r>
            <w:r>
              <w:rPr>
                <w:rFonts w:hint="eastAsia" w:ascii="宋体" w:hAnsi="宋体" w:eastAsia="宋体" w:cs="宋体"/>
                <w:color w:val="000000"/>
                <w:kern w:val="0"/>
                <w:sz w:val="20"/>
                <w:szCs w:val="20"/>
              </w:rPr>
              <w:t>：</w:t>
            </w:r>
            <w:r>
              <w:rPr>
                <w:rFonts w:hint="eastAsia" w:ascii="宋体" w:hAnsi="宋体" w:cs="宋体"/>
                <w:color w:val="000000"/>
                <w:kern w:val="0"/>
                <w:sz w:val="20"/>
                <w:szCs w:val="20"/>
                <w:lang w:eastAsia="zh-CN"/>
              </w:rPr>
              <w:t>保定外事服务中心</w:t>
            </w:r>
          </w:p>
        </w:tc>
        <w:tc>
          <w:tcPr>
            <w:tcW w:w="3181" w:type="dxa"/>
            <w:gridSpan w:val="2"/>
            <w:shd w:val="clear" w:color="auto" w:fill="FFFFFF"/>
            <w:vAlign w:val="center"/>
          </w:tcPr>
          <w:p>
            <w:pPr>
              <w:ind w:firstLine="1800" w:firstLineChars="9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color w:val="000000"/>
                <w:kern w:val="0"/>
                <w:sz w:val="24"/>
                <w:szCs w:val="24"/>
              </w:rPr>
              <w:t>目</w:t>
            </w:r>
          </w:p>
        </w:tc>
        <w:tc>
          <w:tcPr>
            <w:tcW w:w="735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19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187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241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2775"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基本支出  </w:t>
            </w:r>
          </w:p>
        </w:tc>
        <w:tc>
          <w:tcPr>
            <w:tcW w:w="21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2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277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21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241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10422" w:type="dxa"/>
            <w:gridSpan w:val="9"/>
            <w:vAlign w:val="center"/>
          </w:tcPr>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注：本表反映</w:t>
            </w:r>
            <w:r>
              <w:rPr>
                <w:rFonts w:hint="eastAsia" w:ascii="宋体" w:hAnsi="宋体" w:cs="宋体"/>
                <w:color w:val="000000"/>
                <w:kern w:val="0"/>
                <w:sz w:val="24"/>
                <w:szCs w:val="24"/>
                <w:lang w:eastAsia="zh-CN"/>
              </w:rPr>
              <w:t>单位</w:t>
            </w:r>
            <w:r>
              <w:rPr>
                <w:rFonts w:hint="eastAsia" w:ascii="宋体" w:hAnsi="宋体" w:eastAsia="宋体" w:cs="宋体"/>
                <w:color w:val="000000"/>
                <w:kern w:val="0"/>
                <w:sz w:val="24"/>
                <w:szCs w:val="24"/>
              </w:rPr>
              <w:t>本年度国有资本经营预算财政拨款支出情况。</w:t>
            </w:r>
          </w:p>
          <w:p>
            <w:pPr>
              <w:ind w:firstLine="480" w:firstLineChars="200"/>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本单位本年度无相关支出情况，按要求空表列示。</w:t>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720" w:num="1"/>
          <w:docGrid w:type="lines" w:linePitch="312" w:charSpace="0"/>
        </w:sectPr>
      </w:pPr>
    </w:p>
    <w:tbl>
      <w:tblPr>
        <w:tblStyle w:val="6"/>
        <w:tblW w:w="13090" w:type="dxa"/>
        <w:tblInd w:w="-5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23"/>
        <w:gridCol w:w="468"/>
        <w:gridCol w:w="357"/>
        <w:gridCol w:w="711"/>
        <w:gridCol w:w="77"/>
        <w:gridCol w:w="881"/>
        <w:gridCol w:w="97"/>
        <w:gridCol w:w="803"/>
        <w:gridCol w:w="252"/>
        <w:gridCol w:w="1056"/>
        <w:gridCol w:w="240"/>
        <w:gridCol w:w="740"/>
        <w:gridCol w:w="768"/>
        <w:gridCol w:w="492"/>
        <w:gridCol w:w="165"/>
        <w:gridCol w:w="731"/>
        <w:gridCol w:w="172"/>
        <w:gridCol w:w="803"/>
        <w:gridCol w:w="252"/>
        <w:gridCol w:w="939"/>
        <w:gridCol w:w="116"/>
        <w:gridCol w:w="240"/>
        <w:gridCol w:w="240"/>
        <w:gridCol w:w="1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2363" w:type="dxa"/>
          <w:trHeight w:val="600" w:hRule="atLeast"/>
        </w:trPr>
        <w:tc>
          <w:tcPr>
            <w:tcW w:w="10727" w:type="dxa"/>
            <w:gridSpan w:val="20"/>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767" w:type="dxa"/>
          <w:trHeight w:val="211" w:hRule="atLeast"/>
        </w:trPr>
        <w:tc>
          <w:tcPr>
            <w:tcW w:w="1191" w:type="dxa"/>
            <w:gridSpan w:val="2"/>
            <w:shd w:val="clear" w:color="auto" w:fill="auto"/>
            <w:vAlign w:val="center"/>
          </w:tcPr>
          <w:p>
            <w:pPr>
              <w:jc w:val="center"/>
              <w:rPr>
                <w:rFonts w:ascii="宋体" w:hAnsi="宋体" w:eastAsia="宋体" w:cs="宋体"/>
                <w:color w:val="000000"/>
                <w:sz w:val="24"/>
              </w:rPr>
            </w:pPr>
          </w:p>
        </w:tc>
        <w:tc>
          <w:tcPr>
            <w:tcW w:w="1068" w:type="dxa"/>
            <w:gridSpan w:val="2"/>
            <w:shd w:val="clear" w:color="auto" w:fill="auto"/>
            <w:vAlign w:val="center"/>
          </w:tcPr>
          <w:p>
            <w:pPr>
              <w:jc w:val="center"/>
              <w:rPr>
                <w:rFonts w:ascii="宋体" w:hAnsi="宋体" w:eastAsia="宋体" w:cs="宋体"/>
                <w:color w:val="000000"/>
                <w:sz w:val="24"/>
              </w:rPr>
            </w:pPr>
          </w:p>
        </w:tc>
        <w:tc>
          <w:tcPr>
            <w:tcW w:w="1055" w:type="dxa"/>
            <w:gridSpan w:val="3"/>
            <w:shd w:val="clear" w:color="auto" w:fill="auto"/>
            <w:vAlign w:val="center"/>
          </w:tcPr>
          <w:p>
            <w:pPr>
              <w:jc w:val="center"/>
              <w:rPr>
                <w:rFonts w:ascii="宋体" w:hAnsi="宋体" w:eastAsia="宋体" w:cs="宋体"/>
                <w:color w:val="000000"/>
                <w:sz w:val="24"/>
              </w:rPr>
            </w:pPr>
          </w:p>
        </w:tc>
        <w:tc>
          <w:tcPr>
            <w:tcW w:w="1055" w:type="dxa"/>
            <w:gridSpan w:val="2"/>
            <w:shd w:val="clear" w:color="auto" w:fill="auto"/>
            <w:vAlign w:val="center"/>
          </w:tcPr>
          <w:p>
            <w:pPr>
              <w:rPr>
                <w:rFonts w:ascii="宋体" w:hAnsi="宋体" w:eastAsia="宋体" w:cs="宋体"/>
                <w:color w:val="000000"/>
                <w:sz w:val="24"/>
              </w:rPr>
            </w:pPr>
          </w:p>
        </w:tc>
        <w:tc>
          <w:tcPr>
            <w:tcW w:w="1056" w:type="dxa"/>
            <w:shd w:val="clear" w:color="auto" w:fill="auto"/>
            <w:vAlign w:val="center"/>
          </w:tcPr>
          <w:p>
            <w:pPr>
              <w:rPr>
                <w:rFonts w:ascii="宋体" w:hAnsi="宋体" w:eastAsia="宋体" w:cs="宋体"/>
                <w:color w:val="000000"/>
                <w:sz w:val="24"/>
              </w:rPr>
            </w:pPr>
          </w:p>
        </w:tc>
        <w:tc>
          <w:tcPr>
            <w:tcW w:w="240" w:type="dxa"/>
            <w:shd w:val="clear" w:color="auto" w:fill="auto"/>
            <w:vAlign w:val="center"/>
          </w:tcPr>
          <w:p>
            <w:pPr>
              <w:widowControl/>
              <w:jc w:val="right"/>
              <w:textAlignment w:val="center"/>
              <w:rPr>
                <w:rFonts w:ascii="宋体" w:hAnsi="宋体" w:eastAsia="宋体" w:cs="宋体"/>
                <w:color w:val="000000"/>
                <w:sz w:val="24"/>
              </w:rPr>
            </w:pPr>
          </w:p>
        </w:tc>
        <w:tc>
          <w:tcPr>
            <w:tcW w:w="2000" w:type="dxa"/>
            <w:gridSpan w:val="3"/>
            <w:shd w:val="clear" w:color="auto" w:fill="auto"/>
            <w:vAlign w:val="bottom"/>
          </w:tcPr>
          <w:p>
            <w:pPr>
              <w:jc w:val="right"/>
              <w:rPr>
                <w:rFonts w:ascii="宋体" w:hAnsi="宋体" w:eastAsia="宋体" w:cs="宋体"/>
                <w:color w:val="000000"/>
                <w:sz w:val="24"/>
              </w:rPr>
            </w:pPr>
          </w:p>
        </w:tc>
        <w:tc>
          <w:tcPr>
            <w:tcW w:w="1068" w:type="dxa"/>
            <w:gridSpan w:val="3"/>
            <w:shd w:val="clear" w:color="auto" w:fill="auto"/>
            <w:vAlign w:val="bottom"/>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055" w:type="dxa"/>
            <w:gridSpan w:val="2"/>
            <w:shd w:val="clear" w:color="auto" w:fill="auto"/>
            <w:vAlign w:val="bottom"/>
          </w:tcPr>
          <w:p>
            <w:pPr>
              <w:jc w:val="right"/>
              <w:rPr>
                <w:rFonts w:ascii="宋体" w:hAnsi="宋体" w:eastAsia="宋体" w:cs="宋体"/>
                <w:color w:val="000000"/>
                <w:sz w:val="24"/>
              </w:rPr>
            </w:pPr>
          </w:p>
        </w:tc>
        <w:tc>
          <w:tcPr>
            <w:tcW w:w="1055" w:type="dxa"/>
            <w:gridSpan w:val="2"/>
            <w:shd w:val="clear" w:color="auto" w:fill="auto"/>
            <w:vAlign w:val="bottom"/>
          </w:tcPr>
          <w:p>
            <w:pPr>
              <w:jc w:val="left"/>
              <w:rPr>
                <w:rFonts w:ascii="宋体" w:hAnsi="宋体" w:eastAsia="宋体" w:cs="宋体"/>
                <w:color w:val="000000"/>
                <w:sz w:val="24"/>
              </w:rPr>
            </w:pPr>
            <w:r>
              <w:rPr>
                <w:rFonts w:hint="eastAsia" w:ascii="宋体" w:hAnsi="宋体" w:eastAsia="宋体" w:cs="宋体"/>
                <w:color w:val="000000"/>
                <w:szCs w:val="21"/>
              </w:rPr>
              <w:t>公开09表</w:t>
            </w:r>
          </w:p>
        </w:tc>
        <w:tc>
          <w:tcPr>
            <w:tcW w:w="240" w:type="dxa"/>
            <w:shd w:val="clear" w:color="auto" w:fill="auto"/>
            <w:vAlign w:val="bottom"/>
          </w:tcPr>
          <w:p>
            <w:pPr>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767" w:type="dxa"/>
          <w:trHeight w:val="301" w:hRule="atLeast"/>
        </w:trPr>
        <w:tc>
          <w:tcPr>
            <w:tcW w:w="3314" w:type="dxa"/>
            <w:gridSpan w:val="7"/>
            <w:shd w:val="clear" w:color="auto" w:fill="FFFFFF"/>
            <w:vAlign w:val="center"/>
          </w:tcPr>
          <w:p>
            <w:pPr>
              <w:jc w:val="left"/>
              <w:rPr>
                <w:rFonts w:hint="eastAsia" w:ascii="宋体" w:hAnsi="宋体" w:eastAsia="宋体" w:cs="宋体"/>
                <w:color w:val="000000"/>
                <w:sz w:val="20"/>
                <w:szCs w:val="20"/>
                <w:lang w:eastAsia="zh-CN"/>
              </w:rPr>
            </w:pPr>
            <w:r>
              <w:rPr>
                <w:rFonts w:hint="eastAsia" w:ascii="宋体" w:hAnsi="宋体" w:cs="宋体"/>
                <w:color w:val="000000"/>
                <w:kern w:val="0"/>
                <w:sz w:val="20"/>
                <w:szCs w:val="20"/>
                <w:lang w:eastAsia="zh-CN"/>
              </w:rPr>
              <w:t>单位</w:t>
            </w:r>
            <w:r>
              <w:rPr>
                <w:rFonts w:hint="eastAsia" w:ascii="宋体" w:hAnsi="宋体" w:eastAsia="宋体" w:cs="宋体"/>
                <w:color w:val="000000"/>
                <w:kern w:val="0"/>
                <w:sz w:val="20"/>
                <w:szCs w:val="20"/>
              </w:rPr>
              <w:t>：</w:t>
            </w:r>
            <w:r>
              <w:rPr>
                <w:rFonts w:hint="eastAsia" w:ascii="宋体" w:hAnsi="宋体" w:cs="宋体"/>
                <w:color w:val="000000"/>
                <w:kern w:val="0"/>
                <w:sz w:val="20"/>
                <w:szCs w:val="20"/>
                <w:lang w:eastAsia="zh-CN"/>
              </w:rPr>
              <w:t>保定外事服务中心</w:t>
            </w:r>
          </w:p>
        </w:tc>
        <w:tc>
          <w:tcPr>
            <w:tcW w:w="1055" w:type="dxa"/>
            <w:gridSpan w:val="2"/>
            <w:shd w:val="clear" w:color="auto" w:fill="FFFFFF"/>
            <w:vAlign w:val="center"/>
          </w:tcPr>
          <w:p>
            <w:pPr>
              <w:jc w:val="right"/>
              <w:rPr>
                <w:rFonts w:ascii="宋体" w:hAnsi="宋体" w:eastAsia="宋体" w:cs="宋体"/>
                <w:color w:val="000000"/>
                <w:sz w:val="20"/>
                <w:szCs w:val="20"/>
              </w:rPr>
            </w:pPr>
          </w:p>
        </w:tc>
        <w:tc>
          <w:tcPr>
            <w:tcW w:w="1056"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40" w:type="dxa"/>
            <w:shd w:val="clear" w:color="auto" w:fill="FFFFFF"/>
            <w:vAlign w:val="center"/>
          </w:tcPr>
          <w:p>
            <w:pPr>
              <w:widowControl/>
              <w:ind w:right="-5048" w:rightChars="-2404"/>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c>
          <w:tcPr>
            <w:tcW w:w="5418" w:type="dxa"/>
            <w:gridSpan w:val="11"/>
            <w:shd w:val="clear" w:color="auto" w:fill="FFFFFF"/>
            <w:vAlign w:val="center"/>
          </w:tcPr>
          <w:p>
            <w:pPr>
              <w:widowControl/>
              <w:tabs>
                <w:tab w:val="left" w:pos="630"/>
                <w:tab w:val="left" w:pos="5250"/>
              </w:tabs>
              <w:ind w:right="346" w:rightChars="165"/>
              <w:jc w:val="left"/>
              <w:rPr>
                <w:rFonts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ascii="宋体" w:hAnsi="宋体" w:eastAsia="宋体" w:cs="宋体"/>
                <w:color w:val="000000"/>
                <w:kern w:val="0"/>
                <w:sz w:val="20"/>
                <w:szCs w:val="20"/>
              </w:rPr>
              <w:t>单位：万元</w:t>
            </w: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2363" w:type="dxa"/>
          <w:trHeight w:val="555" w:hRule="atLeast"/>
        </w:trPr>
        <w:tc>
          <w:tcPr>
            <w:tcW w:w="5665"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c>
          <w:tcPr>
            <w:tcW w:w="5062"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2363" w:type="dxa"/>
          <w:trHeight w:val="600" w:hRule="atLeast"/>
        </w:trPr>
        <w:tc>
          <w:tcPr>
            <w:tcW w:w="72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82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2569"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公务用车购置及运行维护费</w:t>
            </w:r>
          </w:p>
        </w:tc>
        <w:tc>
          <w:tcPr>
            <w:tcW w:w="1548"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c>
          <w:tcPr>
            <w:tcW w:w="7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7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2363"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公务用车购置及运行维护费</w:t>
            </w:r>
          </w:p>
        </w:tc>
        <w:tc>
          <w:tcPr>
            <w:tcW w:w="119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2363" w:type="dxa"/>
          <w:trHeight w:val="600" w:hRule="atLeast"/>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公务用车运行维护费</w:t>
            </w:r>
          </w:p>
        </w:tc>
        <w:tc>
          <w:tcPr>
            <w:tcW w:w="1548"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7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7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9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公务用车</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运行维护费</w:t>
            </w:r>
          </w:p>
        </w:tc>
        <w:tc>
          <w:tcPr>
            <w:tcW w:w="119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2363" w:type="dxa"/>
          <w:trHeight w:val="555" w:hRule="atLeast"/>
        </w:trPr>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7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54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7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65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9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119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2363" w:type="dxa"/>
          <w:trHeight w:val="427" w:hRule="atLeast"/>
        </w:trPr>
        <w:tc>
          <w:tcPr>
            <w:tcW w:w="7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c>
          <w:tcPr>
            <w:tcW w:w="88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c>
          <w:tcPr>
            <w:tcW w:w="1548"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c>
          <w:tcPr>
            <w:tcW w:w="74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c>
          <w:tcPr>
            <w:tcW w:w="7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c>
          <w:tcPr>
            <w:tcW w:w="73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c>
          <w:tcPr>
            <w:tcW w:w="97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c>
          <w:tcPr>
            <w:tcW w:w="119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13090" w:type="dxa"/>
            <w:gridSpan w:val="24"/>
            <w:vAlign w:val="center"/>
          </w:tcPr>
          <w:p>
            <w:pPr>
              <w:widowControl/>
              <w:ind w:right="2339" w:rightChars="1114"/>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注：本表反映</w:t>
            </w:r>
            <w:r>
              <w:rPr>
                <w:rFonts w:hint="eastAsia" w:ascii="宋体" w:hAnsi="宋体" w:cs="宋体"/>
                <w:color w:val="000000"/>
                <w:kern w:val="0"/>
                <w:sz w:val="24"/>
                <w:szCs w:val="24"/>
                <w:lang w:eastAsia="zh-CN"/>
              </w:rPr>
              <w:t>单位</w:t>
            </w:r>
            <w:r>
              <w:rPr>
                <w:rFonts w:hint="eastAsia" w:ascii="宋体" w:hAnsi="宋体" w:eastAsia="宋体" w:cs="宋体"/>
                <w:color w:val="000000"/>
                <w:kern w:val="0"/>
                <w:sz w:val="24"/>
                <w:szCs w:val="24"/>
              </w:rPr>
              <w:t>本年度财政拨款“三公”经费支出预决算情况。其中，预算数为“三公”经费全年预算数，反映按规定程序调整后的预算数；决算数是包括当年财政拨款和以前年度结转资金安排的实际支出。</w:t>
            </w:r>
          </w:p>
          <w:p>
            <w:pPr>
              <w:widowControl/>
              <w:ind w:right="2339" w:rightChars="1114" w:firstLine="480" w:firstLineChars="200"/>
              <w:jc w:val="left"/>
              <w:textAlignment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本单位本年度无相关支出情况，按要求空表列示。</w:t>
            </w:r>
          </w:p>
        </w:tc>
      </w:tr>
    </w:tbl>
    <w:p>
      <w:pPr>
        <w:widowControl/>
        <w:spacing w:after="160" w:line="580" w:lineRule="exact"/>
        <w:ind w:firstLine="2275" w:firstLineChars="316"/>
        <w:rPr>
          <w:rFonts w:eastAsia="黑体"/>
          <w:sz w:val="32"/>
          <w:szCs w:val="32"/>
        </w:rPr>
      </w:pPr>
      <w:r>
        <w:rPr>
          <w:rFonts w:ascii="Calibri" w:hAnsi="Calibri" w:eastAsia="宋体" w:cs="黑体"/>
          <w:kern w:val="2"/>
          <w:sz w:val="72"/>
          <w:szCs w:val="22"/>
          <w:lang w:val="en-US" w:eastAsia="zh-CN" w:bidi="ar-SA"/>
        </w:rPr>
        <w:pict>
          <v:rect id="文本框 151" o:spid="_x0000_s1043" o:spt="1" style="position:absolute;left:0pt;margin-left:-85.7pt;margin-top:238.15pt;height:173.25pt;width:613.65pt;z-index:25166745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v:textbox>
          </v:rect>
        </w:pict>
      </w:r>
    </w:p>
    <w:p>
      <w:pPr>
        <w:widowControl/>
        <w:spacing w:after="160" w:line="580" w:lineRule="exact"/>
        <w:ind w:left="-283" w:leftChars="-135" w:firstLine="1292" w:firstLineChars="404"/>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ascii="黑体" w:hAnsi="黑体" w:eastAsia="黑体" w:cs="黑体"/>
          <w:color w:val="000000"/>
          <w:sz w:val="44"/>
          <w:szCs w:val="44"/>
        </w:rPr>
      </w:pPr>
      <w:r>
        <w:rPr>
          <w:rFonts w:hint="eastAsia" w:ascii="黑体" w:hAnsi="黑体" w:eastAsia="黑体" w:cs="黑体"/>
          <w:color w:val="000000"/>
          <w:sz w:val="44"/>
          <w:szCs w:val="44"/>
        </w:rPr>
        <w:t xml:space="preserve">    </w:t>
      </w: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r>
        <w:rPr>
          <w:rFonts w:hint="eastAsia" w:ascii="Calibri" w:hAnsi="Calibri" w:eastAsia="黑体" w:cs="黑体"/>
          <w:kern w:val="2"/>
          <w:sz w:val="32"/>
          <w:szCs w:val="32"/>
          <w:lang w:val="en-US" w:eastAsia="zh-CN" w:bidi="ar-SA"/>
        </w:rPr>
        <w:pict>
          <v:shape id="图片 74" o:spid="_x0000_s1044" o:spt="75" type="#_x0000_t75" style="position:absolute;left:0pt;margin-left:-30.35pt;margin-top:287.35pt;height:52pt;width:52pt;mso-position-vertical-relative:margin;z-index:251671552;mso-width-relative:page;mso-height-relative:page;" fillcolor="#FFFFFF" filled="f" o:preferrelative="t" stroked="f" coordsize="21600,21600">
            <v:path/>
            <v:fill on="f" color2="#FFFFFF" focussize="0,0"/>
            <v:stroke on="f"/>
            <v:imagedata r:id="rId15" gain="65536f" blacklevel="0f" gamma="0" o:title=""/>
            <o:lock v:ext="edit" position="f" selection="f" grouping="f" rotation="f" cropping="f" text="f" aspectratio="t"/>
          </v:shape>
        </w:pict>
      </w:r>
      <w:r>
        <w:rPr>
          <w:rFonts w:hint="eastAsia" w:ascii="黑体" w:hAnsi="黑体" w:eastAsia="黑体" w:cs="黑体"/>
          <w:color w:val="000000"/>
          <w:sz w:val="44"/>
          <w:szCs w:val="44"/>
        </w:rPr>
        <w:t>第三部分 2022年度</w:t>
      </w:r>
      <w:r>
        <w:rPr>
          <w:rFonts w:hint="eastAsia" w:ascii="黑体" w:hAnsi="黑体" w:eastAsia="黑体" w:cs="黑体"/>
          <w:color w:val="000000"/>
          <w:sz w:val="44"/>
          <w:szCs w:val="44"/>
          <w:lang w:eastAsia="zh-CN"/>
        </w:rPr>
        <w:t>单位</w:t>
      </w:r>
      <w:r>
        <w:rPr>
          <w:rFonts w:hint="eastAsia" w:ascii="黑体" w:hAnsi="黑体" w:eastAsia="黑体" w:cs="黑体"/>
          <w:color w:val="000000"/>
          <w:sz w:val="44"/>
          <w:szCs w:val="44"/>
        </w:rPr>
        <w:t>决算情况说明</w:t>
      </w:r>
    </w:p>
    <w:p>
      <w:pPr>
        <w:rPr>
          <w:rFonts w:ascii="黑体" w:hAnsi="Calibri" w:eastAsia="黑体" w:cs="Times New Roman"/>
          <w:sz w:val="32"/>
          <w:szCs w:val="32"/>
        </w:rPr>
      </w:pPr>
      <w:r>
        <w:rPr>
          <w:rFonts w:hint="eastAsia" w:ascii="黑体" w:hAnsi="黑体" w:eastAsia="黑体" w:cs="黑体"/>
          <w:color w:val="000000"/>
          <w:sz w:val="44"/>
          <w:szCs w:val="44"/>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hint="default"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eastAsia="zh-CN"/>
        </w:rPr>
        <w:t>单位</w:t>
      </w:r>
      <w:r>
        <w:rPr>
          <w:rFonts w:hint="eastAsia" w:ascii="仿宋_GB2312" w:hAnsi="Times New Roman" w:eastAsia="仿宋_GB2312" w:cs="DengXian-Regular"/>
          <w:sz w:val="32"/>
          <w:szCs w:val="32"/>
        </w:rPr>
        <w:t>2022年度收、支总计（含结转和结余）</w:t>
      </w:r>
      <w:r>
        <w:rPr>
          <w:rFonts w:hint="eastAsia" w:ascii="仿宋_GB2312" w:hAnsi="Times New Roman" w:eastAsia="仿宋_GB2312" w:cs="DengXian-Regular"/>
          <w:sz w:val="32"/>
          <w:szCs w:val="32"/>
          <w:lang w:val="en-US" w:eastAsia="zh-CN"/>
        </w:rPr>
        <w:t>88.37</w:t>
      </w:r>
      <w:r>
        <w:rPr>
          <w:rFonts w:hint="eastAsia" w:ascii="仿宋_GB2312" w:hAnsi="Times New Roman" w:eastAsia="仿宋_GB2312" w:cs="DengXian-Regular"/>
          <w:sz w:val="32"/>
          <w:szCs w:val="32"/>
        </w:rPr>
        <w:t>万元。与2021年度决算相比，收支各增加</w:t>
      </w:r>
      <w:r>
        <w:rPr>
          <w:rFonts w:hint="eastAsia" w:ascii="仿宋_GB2312" w:hAnsi="Times New Roman" w:eastAsia="仿宋_GB2312" w:cs="DengXian-Regular"/>
          <w:sz w:val="32"/>
          <w:szCs w:val="32"/>
          <w:lang w:val="en-US" w:eastAsia="zh-CN"/>
        </w:rPr>
        <w:t>88.37</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100.0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我单位</w:t>
      </w:r>
      <w:r>
        <w:rPr>
          <w:rFonts w:hint="eastAsia" w:ascii="仿宋_GB2312" w:hAnsi="Times New Roman" w:eastAsia="仿宋_GB2312" w:cs="DengXian-Regular"/>
          <w:sz w:val="32"/>
          <w:szCs w:val="32"/>
          <w:lang w:val="en-US" w:eastAsia="zh-CN"/>
        </w:rPr>
        <w:t>2022年度新纳入部门预算单位。</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二、收入决算情况说明</w:t>
      </w:r>
    </w:p>
    <w:p>
      <w:pPr>
        <w:autoSpaceDE w:val="0"/>
        <w:autoSpaceDN w:val="0"/>
        <w:adjustRightInd w:val="0"/>
        <w:ind w:left="200" w:firstLine="640" w:firstLineChars="200"/>
        <w:jc w:val="left"/>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eastAsia="zh-CN"/>
        </w:rPr>
        <w:t>单位</w:t>
      </w:r>
      <w:r>
        <w:rPr>
          <w:rFonts w:hint="eastAsia" w:ascii="仿宋_GB2312" w:hAnsi="Times New Roman" w:eastAsia="仿宋_GB2312" w:cs="DengXian-Regular"/>
          <w:sz w:val="32"/>
          <w:szCs w:val="32"/>
        </w:rPr>
        <w:t>2022年度收入合计</w:t>
      </w:r>
      <w:r>
        <w:rPr>
          <w:rFonts w:hint="eastAsia" w:ascii="仿宋_GB2312" w:hAnsi="Times New Roman" w:eastAsia="仿宋_GB2312" w:cs="DengXian-Regular"/>
          <w:sz w:val="32"/>
          <w:szCs w:val="32"/>
          <w:lang w:val="en-US" w:eastAsia="zh-CN"/>
        </w:rPr>
        <w:t>88.37</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88.37</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；上级补助收入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占</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%；附属单位上缴收入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utoSpaceDE w:val="0"/>
        <w:autoSpaceDN w:val="0"/>
        <w:adjustRightInd w:val="0"/>
        <w:ind w:left="200" w:firstLine="640" w:firstLineChars="200"/>
        <w:jc w:val="left"/>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lang w:eastAsia="zh-CN"/>
        </w:rPr>
        <w:pict>
          <v:shape id="_x0000_i1025" o:spt="75" alt="图片21" type="#_x0000_t75" style="height:216.95pt;width:381.1pt;" filled="f" o:preferrelative="t" stroked="f" coordsize="21600,21600">
            <v:path/>
            <v:fill on="f" focussize="0,0"/>
            <v:stroke on="f"/>
            <v:imagedata r:id="rId16" o:title="图片21"/>
            <o:lock v:ext="edit" aspectratio="t"/>
            <w10:wrap type="none"/>
            <w10:anchorlock/>
          </v:shape>
        </w:pic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三、支出决算情况说明</w:t>
      </w:r>
    </w:p>
    <w:p>
      <w:pPr>
        <w:autoSpaceDE w:val="0"/>
        <w:autoSpaceDN w:val="0"/>
        <w:adjustRightInd w:val="0"/>
        <w:ind w:left="200" w:firstLine="640" w:firstLineChars="200"/>
        <w:jc w:val="left"/>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eastAsia="zh-CN"/>
        </w:rPr>
        <w:t>单位</w:t>
      </w:r>
      <w:r>
        <w:rPr>
          <w:rFonts w:hint="eastAsia" w:ascii="仿宋_GB2312" w:hAnsi="Times New Roman" w:eastAsia="仿宋_GB2312" w:cs="DengXian-Regular"/>
          <w:sz w:val="32"/>
          <w:szCs w:val="32"/>
        </w:rPr>
        <w:t>2022年度支出合计</w:t>
      </w:r>
      <w:r>
        <w:rPr>
          <w:rFonts w:hint="eastAsia" w:ascii="仿宋_GB2312" w:hAnsi="Times New Roman" w:eastAsia="仿宋_GB2312" w:cs="DengXian-Regular"/>
          <w:sz w:val="32"/>
          <w:szCs w:val="32"/>
          <w:lang w:val="en-US" w:eastAsia="zh-CN"/>
        </w:rPr>
        <w:t>88.37</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88.37</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上缴上级支出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占</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%；对附属单位补助支出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utoSpaceDE w:val="0"/>
        <w:autoSpaceDN w:val="0"/>
        <w:adjustRightInd w:val="0"/>
        <w:ind w:left="200" w:firstLine="640" w:firstLineChars="200"/>
        <w:jc w:val="left"/>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lang w:eastAsia="zh-CN"/>
        </w:rPr>
        <w:pict>
          <v:shape id="_x0000_i1026" o:spt="75" alt="图片22" type="#_x0000_t75" style="height:216.95pt;width:381.1pt;" filled="f" o:preferrelative="t" stroked="f" coordsize="21600,21600">
            <v:path/>
            <v:fill on="f" focussize="0,0"/>
            <v:stroke on="f"/>
            <v:imagedata r:id="rId17" o:title="图片22"/>
            <o:lock v:ext="edit" aspectratio="t"/>
            <w10:wrap type="none"/>
            <w10:anchorlock/>
          </v:shape>
        </w:pict>
      </w: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（一）财政拨款收支与2021年度决算对比情况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eastAsia="zh-CN"/>
        </w:rPr>
        <w:t>单位</w:t>
      </w:r>
      <w:r>
        <w:rPr>
          <w:rFonts w:hint="eastAsia" w:ascii="仿宋_GB2312" w:hAnsi="Times New Roman" w:eastAsia="仿宋_GB2312" w:cs="DengXian-Regular"/>
          <w:sz w:val="32"/>
          <w:szCs w:val="32"/>
        </w:rPr>
        <w:t>2022年度财政拨款本年收入</w:t>
      </w:r>
      <w:r>
        <w:rPr>
          <w:rFonts w:hint="eastAsia" w:ascii="仿宋_GB2312" w:hAnsi="Times New Roman" w:eastAsia="仿宋_GB2312" w:cs="DengXian-Regular"/>
          <w:sz w:val="32"/>
          <w:szCs w:val="32"/>
          <w:lang w:val="en-US" w:eastAsia="zh-CN"/>
        </w:rPr>
        <w:t>88.37</w:t>
      </w:r>
      <w:r>
        <w:rPr>
          <w:rFonts w:hint="eastAsia" w:ascii="仿宋_GB2312" w:hAnsi="Times New Roman" w:eastAsia="仿宋_GB2312" w:cs="DengXian-Regular"/>
          <w:sz w:val="32"/>
          <w:szCs w:val="32"/>
        </w:rPr>
        <w:t>万元,比2021年度增加</w:t>
      </w:r>
      <w:r>
        <w:rPr>
          <w:rFonts w:hint="eastAsia" w:ascii="仿宋_GB2312" w:hAnsi="Times New Roman" w:eastAsia="仿宋_GB2312" w:cs="DengXian-Regular"/>
          <w:sz w:val="32"/>
          <w:szCs w:val="32"/>
          <w:lang w:val="en-US" w:eastAsia="zh-CN"/>
        </w:rPr>
        <w:t>88.37</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100.0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我单位</w:t>
      </w:r>
      <w:r>
        <w:rPr>
          <w:rFonts w:hint="eastAsia" w:ascii="仿宋_GB2312" w:hAnsi="Times New Roman" w:eastAsia="仿宋_GB2312" w:cs="DengXian-Regular"/>
          <w:sz w:val="32"/>
          <w:szCs w:val="32"/>
          <w:lang w:val="en-US" w:eastAsia="zh-CN"/>
        </w:rPr>
        <w:t>2022年度新纳入部门预算单位</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万元，增加</w:t>
      </w:r>
      <w:r>
        <w:rPr>
          <w:rFonts w:hint="eastAsia" w:ascii="仿宋_GB2312" w:hAnsi="Times New Roman" w:eastAsia="仿宋_GB2312" w:cs="DengXian-Regular"/>
          <w:sz w:val="32"/>
          <w:szCs w:val="32"/>
          <w:lang w:val="en-US" w:eastAsia="zh-CN"/>
        </w:rPr>
        <w:t>88.37</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100.0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我单位</w:t>
      </w:r>
      <w:r>
        <w:rPr>
          <w:rFonts w:hint="eastAsia" w:ascii="仿宋_GB2312" w:hAnsi="Times New Roman" w:eastAsia="仿宋_GB2312" w:cs="DengXian-Regular"/>
          <w:sz w:val="32"/>
          <w:szCs w:val="32"/>
          <w:lang w:val="en-US" w:eastAsia="zh-CN"/>
        </w:rPr>
        <w:t>2022年度新纳入部门预算单位</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w:t>
      </w:r>
      <w:r>
        <w:rPr>
          <w:rFonts w:hint="eastAsia" w:ascii="仿宋_GB2312" w:hAnsi="Times New Roman" w:eastAsia="仿宋_GB2312" w:cs="DengXian-Regular"/>
          <w:sz w:val="32"/>
          <w:szCs w:val="32"/>
          <w:lang w:val="en-US" w:eastAsia="zh-CN"/>
        </w:rPr>
        <w:t>88.37</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88.37</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增长</w:t>
      </w:r>
      <w:r>
        <w:rPr>
          <w:rFonts w:hint="eastAsia" w:ascii="仿宋_GB2312" w:hAnsi="Times New Roman" w:eastAsia="仿宋_GB2312" w:cs="DengXian-Regular"/>
          <w:sz w:val="32"/>
          <w:szCs w:val="32"/>
          <w:lang w:val="en-US" w:eastAsia="zh-CN"/>
        </w:rPr>
        <w:t>100.0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我单位</w:t>
      </w:r>
      <w:r>
        <w:rPr>
          <w:rFonts w:hint="eastAsia" w:ascii="仿宋_GB2312" w:hAnsi="Times New Roman" w:eastAsia="仿宋_GB2312" w:cs="DengXian-Regular"/>
          <w:sz w:val="32"/>
          <w:szCs w:val="32"/>
          <w:lang w:val="en-US" w:eastAsia="zh-CN"/>
        </w:rPr>
        <w:t>2022年度新纳入部门预算单位</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88.37</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88.37</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88.37</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我单位</w:t>
      </w:r>
      <w:r>
        <w:rPr>
          <w:rFonts w:hint="eastAsia" w:ascii="仿宋_GB2312" w:hAnsi="Times New Roman" w:eastAsia="仿宋_GB2312" w:cs="DengXian-Regular"/>
          <w:sz w:val="32"/>
          <w:szCs w:val="32"/>
          <w:lang w:val="en-US" w:eastAsia="zh-CN"/>
        </w:rPr>
        <w:t>2022年度新纳入部门预算单位</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与上年持平</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我单位无政府性基金预算财政拨款收入</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与上年持平</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我单位无政府性基金预算财政拨款支出</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与上年持平</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我单位无国有资本经营预算财政拨款收入</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元，</w:t>
      </w:r>
      <w:r>
        <w:rPr>
          <w:rFonts w:hint="eastAsia" w:ascii="仿宋_GB2312" w:hAnsi="Times New Roman" w:eastAsia="仿宋_GB2312" w:cs="DengXian-Regular"/>
          <w:sz w:val="32"/>
          <w:szCs w:val="32"/>
          <w:lang w:eastAsia="zh-CN"/>
        </w:rPr>
        <w:t>与上年持平</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我单位无国有资本经营预算财政拨款支出</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eastAsia="zh-CN"/>
        </w:rPr>
        <w:t>单位</w:t>
      </w:r>
      <w:r>
        <w:rPr>
          <w:rFonts w:hint="eastAsia" w:ascii="仿宋_GB2312" w:hAnsi="Times New Roman" w:eastAsia="仿宋_GB2312" w:cs="DengXian-Regular"/>
          <w:sz w:val="32"/>
          <w:szCs w:val="32"/>
        </w:rPr>
        <w:t>2022年度财政拨款本年收入</w:t>
      </w:r>
      <w:r>
        <w:rPr>
          <w:rFonts w:hint="eastAsia" w:ascii="仿宋_GB2312" w:hAnsi="Times New Roman" w:eastAsia="仿宋_GB2312" w:cs="DengXian-Regular"/>
          <w:sz w:val="32"/>
          <w:szCs w:val="32"/>
          <w:lang w:val="en-US" w:eastAsia="zh-CN"/>
        </w:rPr>
        <w:t>88.37</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96.1</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3.63</w:t>
      </w:r>
      <w:r>
        <w:rPr>
          <w:rFonts w:hint="eastAsia" w:ascii="仿宋_GB2312" w:hAnsi="Times New Roman" w:eastAsia="仿宋_GB2312" w:cs="DengXian-Regular"/>
          <w:sz w:val="32"/>
          <w:szCs w:val="32"/>
        </w:rPr>
        <w:t>万元，决算数小于预算数主要原因是</w:t>
      </w:r>
      <w:r>
        <w:rPr>
          <w:rFonts w:hint="eastAsia" w:ascii="仿宋_GB2312" w:hAnsi="Times New Roman" w:eastAsia="仿宋_GB2312" w:cs="DengXian-Regular"/>
          <w:sz w:val="32"/>
          <w:szCs w:val="32"/>
          <w:lang w:eastAsia="zh-CN"/>
        </w:rPr>
        <w:t>减少经费支出</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88.37</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96.1</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3.63</w:t>
      </w:r>
      <w:r>
        <w:rPr>
          <w:rFonts w:hint="eastAsia" w:ascii="仿宋_GB2312" w:hAnsi="Times New Roman" w:eastAsia="仿宋_GB2312" w:cs="DengXian-Regular"/>
          <w:sz w:val="32"/>
          <w:szCs w:val="32"/>
        </w:rPr>
        <w:t>万元，决算数小于预算数主要原因是</w:t>
      </w:r>
      <w:r>
        <w:rPr>
          <w:rFonts w:hint="eastAsia" w:ascii="仿宋_GB2312" w:hAnsi="Times New Roman" w:eastAsia="仿宋_GB2312" w:cs="DengXian-Regular"/>
          <w:sz w:val="32"/>
          <w:szCs w:val="32"/>
          <w:lang w:eastAsia="zh-CN"/>
        </w:rPr>
        <w:t>减少经费支出</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w:t>
      </w:r>
      <w:r>
        <w:rPr>
          <w:rFonts w:hint="eastAsia" w:ascii="仿宋_GB2312" w:hAnsi="Times New Roman" w:eastAsia="仿宋_GB2312" w:cs="DengXian-Regular"/>
          <w:sz w:val="32"/>
          <w:szCs w:val="32"/>
          <w:lang w:val="en-US" w:eastAsia="zh-CN"/>
        </w:rPr>
        <w:t>88.37万元，</w:t>
      </w:r>
      <w:r>
        <w:rPr>
          <w:rFonts w:hint="eastAsia" w:ascii="仿宋_GB2312" w:hAnsi="Times New Roman" w:eastAsia="仿宋_GB2312" w:cs="DengXian-Regular"/>
          <w:sz w:val="32"/>
          <w:szCs w:val="32"/>
        </w:rPr>
        <w:t>完成年初预算</w:t>
      </w:r>
      <w:r>
        <w:rPr>
          <w:rFonts w:hint="eastAsia" w:ascii="仿宋_GB2312" w:hAnsi="Times New Roman" w:eastAsia="仿宋_GB2312" w:cs="DengXian-Regular"/>
          <w:sz w:val="32"/>
          <w:szCs w:val="32"/>
          <w:lang w:val="en-US" w:eastAsia="zh-CN"/>
        </w:rPr>
        <w:t>96.1</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3.63</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减少经费支出</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本年</w:t>
      </w:r>
      <w:r>
        <w:rPr>
          <w:rFonts w:hint="eastAsia" w:ascii="仿宋_GB2312" w:hAnsi="Times New Roman" w:eastAsia="仿宋_GB2312" w:cs="DengXian-Regular"/>
          <w:sz w:val="32"/>
          <w:szCs w:val="32"/>
        </w:rPr>
        <w:t>支出</w:t>
      </w:r>
      <w:r>
        <w:rPr>
          <w:rFonts w:hint="eastAsia" w:ascii="仿宋_GB2312" w:hAnsi="Times New Roman" w:eastAsia="仿宋_GB2312" w:cs="DengXian-Regular"/>
          <w:sz w:val="32"/>
          <w:szCs w:val="32"/>
          <w:lang w:val="en-US" w:eastAsia="zh-CN"/>
        </w:rPr>
        <w:t>88.37万元，</w:t>
      </w:r>
      <w:r>
        <w:rPr>
          <w:rFonts w:hint="eastAsia" w:ascii="仿宋_GB2312" w:hAnsi="Times New Roman" w:eastAsia="仿宋_GB2312" w:cs="DengXian-Regular"/>
          <w:sz w:val="32"/>
          <w:szCs w:val="32"/>
        </w:rPr>
        <w:t>完成年初预算</w:t>
      </w:r>
      <w:r>
        <w:rPr>
          <w:rFonts w:hint="eastAsia" w:ascii="仿宋_GB2312" w:hAnsi="Times New Roman" w:eastAsia="仿宋_GB2312" w:cs="DengXian-Regular"/>
          <w:sz w:val="32"/>
          <w:szCs w:val="32"/>
          <w:lang w:val="en-US" w:eastAsia="zh-CN"/>
        </w:rPr>
        <w:t>96.1</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3.63</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减少经费支出</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w:t>
      </w:r>
      <w:r>
        <w:rPr>
          <w:rFonts w:hint="eastAsia" w:ascii="仿宋_GB2312" w:hAnsi="Times New Roman" w:eastAsia="仿宋_GB2312" w:cs="DengXian-Regular"/>
          <w:sz w:val="32"/>
          <w:szCs w:val="32"/>
          <w:lang w:val="en-US" w:eastAsia="zh-CN"/>
        </w:rPr>
        <w:t>0万元，</w:t>
      </w:r>
      <w:r>
        <w:rPr>
          <w:rFonts w:hint="eastAsia" w:ascii="仿宋_GB2312" w:hAnsi="Times New Roman" w:eastAsia="仿宋_GB2312" w:cs="DengXian-Regular"/>
          <w:sz w:val="32"/>
          <w:szCs w:val="32"/>
          <w:lang w:eastAsia="zh-CN"/>
        </w:rPr>
        <w:t>与年初预算持平</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我单位无政府性基金财政拨款数收入</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本年</w:t>
      </w:r>
      <w:r>
        <w:rPr>
          <w:rFonts w:hint="eastAsia" w:ascii="仿宋_GB2312" w:hAnsi="Times New Roman" w:eastAsia="仿宋_GB2312" w:cs="DengXian-Regular"/>
          <w:sz w:val="32"/>
          <w:szCs w:val="32"/>
        </w:rPr>
        <w:t>支出</w:t>
      </w:r>
      <w:r>
        <w:rPr>
          <w:rFonts w:hint="eastAsia" w:ascii="仿宋_GB2312" w:hAnsi="Times New Roman" w:eastAsia="仿宋_GB2312" w:cs="DengXian-Regular"/>
          <w:sz w:val="32"/>
          <w:szCs w:val="32"/>
          <w:lang w:val="en-US" w:eastAsia="zh-CN"/>
        </w:rPr>
        <w:t>0万元，</w:t>
      </w:r>
      <w:r>
        <w:rPr>
          <w:rFonts w:hint="eastAsia" w:ascii="仿宋_GB2312" w:hAnsi="Times New Roman" w:eastAsia="仿宋_GB2312" w:cs="DengXian-Regular"/>
          <w:sz w:val="32"/>
          <w:szCs w:val="32"/>
          <w:lang w:eastAsia="zh-CN"/>
        </w:rPr>
        <w:t>与年初预算持平</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我单位无政府性基金财政拨款支出</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w:t>
      </w:r>
      <w:r>
        <w:rPr>
          <w:rFonts w:hint="eastAsia" w:ascii="仿宋_GB2312" w:hAnsi="Times New Roman" w:eastAsia="仿宋_GB2312" w:cs="DengXian-Regular"/>
          <w:sz w:val="32"/>
          <w:szCs w:val="32"/>
          <w:lang w:val="en-US" w:eastAsia="zh-CN"/>
        </w:rPr>
        <w:t>0万元，</w:t>
      </w:r>
      <w:r>
        <w:rPr>
          <w:rFonts w:hint="eastAsia" w:ascii="仿宋_GB2312" w:hAnsi="Times New Roman" w:eastAsia="仿宋_GB2312" w:cs="DengXian-Regular"/>
          <w:sz w:val="32"/>
          <w:szCs w:val="32"/>
          <w:lang w:eastAsia="zh-CN"/>
        </w:rPr>
        <w:t>与年初预算持平</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我单位无国有资本经营预算财政拨款收入</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本年</w:t>
      </w:r>
      <w:r>
        <w:rPr>
          <w:rFonts w:hint="eastAsia" w:ascii="仿宋_GB2312" w:hAnsi="Times New Roman" w:eastAsia="仿宋_GB2312" w:cs="DengXian-Regular"/>
          <w:sz w:val="32"/>
          <w:szCs w:val="32"/>
        </w:rPr>
        <w:t>支出</w:t>
      </w:r>
      <w:r>
        <w:rPr>
          <w:rFonts w:hint="eastAsia" w:ascii="仿宋_GB2312" w:hAnsi="Times New Roman" w:eastAsia="仿宋_GB2312" w:cs="DengXian-Regular"/>
          <w:sz w:val="32"/>
          <w:szCs w:val="32"/>
          <w:lang w:val="en-US" w:eastAsia="zh-CN"/>
        </w:rPr>
        <w:t>0万元，</w:t>
      </w:r>
      <w:r>
        <w:rPr>
          <w:rFonts w:hint="eastAsia" w:ascii="仿宋_GB2312" w:hAnsi="Times New Roman" w:eastAsia="仿宋_GB2312" w:cs="DengXian-Regular"/>
          <w:sz w:val="32"/>
          <w:szCs w:val="32"/>
          <w:lang w:eastAsia="zh-CN"/>
        </w:rPr>
        <w:t>与年初预算持平</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我单位无国有资本经营预算财政拨款支出</w:t>
      </w:r>
      <w:r>
        <w:rPr>
          <w:rFonts w:hint="eastAsia" w:ascii="仿宋_GB2312" w:hAnsi="Times New Roman" w:eastAsia="仿宋_GB2312" w:cs="DengXian-Regular"/>
          <w:sz w:val="32"/>
          <w:szCs w:val="32"/>
        </w:rPr>
        <w:t>。</w:t>
      </w:r>
    </w:p>
    <w:p>
      <w:pPr>
        <w:numPr>
          <w:ilvl w:val="0"/>
          <w:numId w:val="2"/>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2022年度财政拨款支出</w:t>
      </w:r>
      <w:r>
        <w:rPr>
          <w:rFonts w:hint="eastAsia" w:ascii="仿宋_GB2312" w:hAnsi="Times New Roman" w:eastAsia="仿宋_GB2312" w:cs="DengXian-Regular"/>
          <w:sz w:val="32"/>
          <w:szCs w:val="32"/>
          <w:lang w:val="en-US" w:eastAsia="zh-CN"/>
        </w:rPr>
        <w:t>88.37</w:t>
      </w:r>
      <w:r>
        <w:rPr>
          <w:rFonts w:hint="eastAsia" w:ascii="仿宋_GB2312" w:hAnsi="Times New Roman" w:eastAsia="仿宋_GB2312" w:cs="DengXian-Regular"/>
          <w:sz w:val="32"/>
          <w:szCs w:val="32"/>
        </w:rPr>
        <w:t>万元，主要用于以下方面</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一般公共服务（类）支出</w:t>
      </w:r>
      <w:r>
        <w:rPr>
          <w:rFonts w:hint="eastAsia" w:ascii="仿宋_GB2312" w:hAnsi="Times New Roman" w:eastAsia="仿宋_GB2312" w:cs="DengXian-Regular"/>
          <w:sz w:val="32"/>
          <w:szCs w:val="32"/>
          <w:lang w:val="en-US" w:eastAsia="zh-CN"/>
        </w:rPr>
        <w:t>88.37</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100.0</w:t>
      </w:r>
      <w:r>
        <w:rPr>
          <w:rFonts w:hint="eastAsia" w:ascii="仿宋_GB2312" w:hAnsi="Times New Roman" w:eastAsia="仿宋_GB2312" w:cs="DengXian-Regular"/>
          <w:sz w:val="32"/>
          <w:szCs w:val="32"/>
        </w:rPr>
        <w:t>%，主要用于</w:t>
      </w:r>
      <w:r>
        <w:rPr>
          <w:rFonts w:hint="eastAsia" w:ascii="仿宋_GB2312" w:hAnsi="Times New Roman" w:eastAsia="仿宋_GB2312" w:cs="DengXian-Regular"/>
          <w:sz w:val="32"/>
          <w:szCs w:val="32"/>
          <w:lang w:eastAsia="zh-CN"/>
        </w:rPr>
        <w:t>发放人员工资以及日常办公经费</w:t>
      </w:r>
      <w:r>
        <w:rPr>
          <w:rFonts w:hint="eastAsia" w:ascii="仿宋_GB2312" w:hAnsi="Times New Roman" w:eastAsia="仿宋_GB2312" w:cs="DengXian-Regular"/>
          <w:sz w:val="32"/>
          <w:szCs w:val="32"/>
        </w:rPr>
        <w:t>等支出。</w:t>
      </w:r>
    </w:p>
    <w:p>
      <w:pPr>
        <w:numPr>
          <w:ilvl w:val="0"/>
          <w:numId w:val="2"/>
        </w:numPr>
        <w:adjustRightInd w:val="0"/>
        <w:snapToGrid w:val="0"/>
        <w:spacing w:line="580" w:lineRule="exact"/>
        <w:ind w:left="420" w:leftChars="200" w:firstLine="0" w:firstLineChars="0"/>
        <w:rPr>
          <w:rFonts w:hint="eastAsia" w:ascii="楷体_GB2312" w:hAnsi="Times New Roman" w:eastAsia="楷体_GB2312" w:cs="DengXian-Bold"/>
          <w:b/>
          <w:bCs/>
          <w:sz w:val="32"/>
          <w:szCs w:val="32"/>
        </w:rPr>
      </w:pPr>
      <w:r>
        <w:rPr>
          <w:rFonts w:hint="eastAsia" w:ascii="楷体_GB2312" w:hAnsi="Times New Roman" w:eastAsia="楷体_GB2312" w:cs="DengXian-Bold"/>
          <w:b/>
          <w:bCs/>
          <w:sz w:val="32"/>
          <w:szCs w:val="32"/>
        </w:rPr>
        <w:t>一般公共预算基本支出决算情况说明</w:t>
      </w:r>
    </w:p>
    <w:p>
      <w:pPr>
        <w:adjustRightInd w:val="0"/>
        <w:snapToGrid w:val="0"/>
        <w:spacing w:line="580" w:lineRule="exact"/>
        <w:ind w:firstLine="640" w:firstLineChars="200"/>
        <w:rPr>
          <w:rFonts w:hint="default"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eastAsia="zh-CN"/>
        </w:rPr>
        <w:t>我单位</w:t>
      </w:r>
      <w:r>
        <w:rPr>
          <w:rFonts w:hint="eastAsia" w:ascii="仿宋_GB2312" w:hAnsi="Times New Roman" w:eastAsia="仿宋_GB2312" w:cs="DengXian-Regular"/>
          <w:sz w:val="32"/>
          <w:szCs w:val="32"/>
          <w:lang w:val="en-US" w:eastAsia="zh-CN"/>
        </w:rPr>
        <w:t>2022年度无一般公共基本支出决算情况。</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五、财政拨款“三公” 经费支出决算情况说明</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eastAsia="zh-CN"/>
        </w:rPr>
        <w:t>单位</w:t>
      </w:r>
      <w:r>
        <w:rPr>
          <w:rFonts w:hint="eastAsia" w:ascii="仿宋_GB2312" w:hAnsi="Times New Roman" w:eastAsia="仿宋_GB2312" w:cs="DengXian-Regular"/>
          <w:sz w:val="32"/>
          <w:szCs w:val="32"/>
        </w:rPr>
        <w:t>2022年度“三公”经费财政拨款支出预算为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与年初预算持平</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我单位无三公工作安排</w:t>
      </w:r>
      <w:r>
        <w:rPr>
          <w:rFonts w:hint="eastAsia" w:ascii="仿宋_GB2312" w:hAnsi="Times New Roman" w:eastAsia="仿宋_GB2312" w:cs="DengXian-Regular"/>
          <w:sz w:val="32"/>
          <w:szCs w:val="32"/>
        </w:rPr>
        <w:t>；较2021年度决算</w:t>
      </w:r>
      <w:r>
        <w:rPr>
          <w:rFonts w:hint="eastAsia" w:ascii="仿宋_GB2312" w:hAnsi="Times New Roman" w:eastAsia="仿宋_GB2312" w:cs="DengXian-Regular"/>
          <w:sz w:val="32"/>
          <w:szCs w:val="32"/>
          <w:lang w:eastAsia="zh-CN"/>
        </w:rPr>
        <w:t>无变化</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2022年度我单位为新纳入预算单位，无三公经费预算安排</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eastAsia="zh-CN"/>
        </w:rPr>
        <w:t>单位</w:t>
      </w:r>
      <w:r>
        <w:rPr>
          <w:rFonts w:hint="eastAsia" w:ascii="仿宋_GB2312" w:hAnsi="Times New Roman" w:eastAsia="仿宋_GB2312" w:cs="DengXian-Regular"/>
          <w:sz w:val="32"/>
          <w:szCs w:val="32"/>
        </w:rPr>
        <w:t>2022年度因公出国（境）费支出预算为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与年初预算持平</w:t>
      </w:r>
      <w:r>
        <w:rPr>
          <w:rFonts w:hint="eastAsia" w:ascii="仿宋_GB2312" w:hAnsi="Times New Roman" w:eastAsia="仿宋_GB2312" w:cs="DengXian-Regular"/>
          <w:sz w:val="32"/>
          <w:szCs w:val="32"/>
        </w:rPr>
        <w:t>。因公出国（境）费支出</w:t>
      </w:r>
      <w:r>
        <w:rPr>
          <w:rFonts w:hint="eastAsia" w:ascii="仿宋_GB2312" w:hAnsi="Times New Roman" w:eastAsia="仿宋_GB2312" w:cs="DengXian-Regular"/>
          <w:sz w:val="32"/>
          <w:szCs w:val="32"/>
          <w:lang w:val="en-US" w:eastAsia="zh-CN"/>
        </w:rPr>
        <w:t>0万，</w:t>
      </w:r>
      <w:r>
        <w:rPr>
          <w:rFonts w:hint="eastAsia" w:ascii="仿宋_GB2312" w:hAnsi="Times New Roman" w:eastAsia="仿宋_GB2312" w:cs="DengXian-Regular"/>
          <w:sz w:val="32"/>
          <w:szCs w:val="32"/>
        </w:rPr>
        <w:t>较预算增减</w:t>
      </w:r>
      <w:r>
        <w:rPr>
          <w:rFonts w:hint="eastAsia" w:ascii="仿宋_GB2312" w:hAnsi="Times New Roman" w:eastAsia="仿宋_GB2312" w:cs="DengXian-Regular"/>
          <w:sz w:val="32"/>
          <w:szCs w:val="32"/>
          <w:lang w:eastAsia="zh-CN"/>
        </w:rPr>
        <w:t>无变化</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2022年度我单位无</w:t>
      </w:r>
      <w:r>
        <w:rPr>
          <w:rFonts w:hint="eastAsia" w:ascii="仿宋_GB2312" w:hAnsi="Times New Roman" w:eastAsia="仿宋_GB2312" w:cs="DengXian-Regular"/>
          <w:sz w:val="32"/>
          <w:szCs w:val="32"/>
        </w:rPr>
        <w:t>因公出国（境）</w:t>
      </w:r>
      <w:r>
        <w:rPr>
          <w:rFonts w:hint="eastAsia" w:ascii="仿宋_GB2312" w:hAnsi="Times New Roman" w:eastAsia="仿宋_GB2312" w:cs="DengXian-Regular"/>
          <w:sz w:val="32"/>
          <w:szCs w:val="32"/>
          <w:lang w:val="en-US" w:eastAsia="zh-CN"/>
        </w:rPr>
        <w:t>工作安排</w:t>
      </w:r>
      <w:r>
        <w:rPr>
          <w:rFonts w:hint="eastAsia" w:ascii="仿宋_GB2312" w:hAnsi="Times New Roman" w:eastAsia="仿宋_GB2312" w:cs="DengXian-Regular"/>
          <w:sz w:val="32"/>
          <w:szCs w:val="32"/>
        </w:rPr>
        <w:t>；较上年增减</w:t>
      </w:r>
      <w:r>
        <w:rPr>
          <w:rFonts w:hint="eastAsia" w:ascii="仿宋_GB2312" w:hAnsi="Times New Roman" w:eastAsia="仿宋_GB2312" w:cs="DengXian-Regular"/>
          <w:sz w:val="32"/>
          <w:szCs w:val="32"/>
          <w:lang w:eastAsia="zh-CN"/>
        </w:rPr>
        <w:t>无变化</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与上年持平</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我单位</w:t>
      </w:r>
      <w:r>
        <w:rPr>
          <w:rFonts w:hint="eastAsia" w:ascii="仿宋_GB2312" w:hAnsi="Times New Roman" w:eastAsia="仿宋_GB2312" w:cs="DengXian-Regular"/>
          <w:sz w:val="32"/>
          <w:szCs w:val="32"/>
          <w:lang w:val="en-US" w:eastAsia="zh-CN"/>
        </w:rPr>
        <w:t>无</w:t>
      </w:r>
      <w:r>
        <w:rPr>
          <w:rFonts w:hint="eastAsia" w:ascii="仿宋_GB2312" w:hAnsi="Times New Roman" w:eastAsia="仿宋_GB2312" w:cs="DengXian-Regular"/>
          <w:sz w:val="32"/>
          <w:szCs w:val="32"/>
        </w:rPr>
        <w:t>因公出国（境）</w:t>
      </w:r>
      <w:r>
        <w:rPr>
          <w:rFonts w:hint="eastAsia" w:ascii="仿宋_GB2312" w:hAnsi="Times New Roman" w:eastAsia="仿宋_GB2312" w:cs="DengXian-Regular"/>
          <w:sz w:val="32"/>
          <w:szCs w:val="32"/>
          <w:lang w:val="en-US" w:eastAsia="zh-CN"/>
        </w:rPr>
        <w:t>工作安排</w:t>
      </w:r>
      <w:r>
        <w:rPr>
          <w:rFonts w:hint="eastAsia" w:ascii="仿宋_GB2312" w:hAnsi="Times New Roman" w:eastAsia="仿宋_GB2312" w:cs="DengXian-Regular"/>
          <w:sz w:val="32"/>
          <w:szCs w:val="32"/>
        </w:rPr>
        <w:t>。其中因公出国（境）团组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eastAsia="zh-CN"/>
        </w:rPr>
        <w:t>单位</w:t>
      </w:r>
      <w:r>
        <w:rPr>
          <w:rFonts w:hint="eastAsia" w:ascii="仿宋_GB2312" w:hAnsi="Times New Roman" w:eastAsia="仿宋_GB2312" w:cs="DengXian-Regular"/>
          <w:sz w:val="32"/>
          <w:szCs w:val="32"/>
        </w:rPr>
        <w:t>2022年度公务用车购置及运行维护费预算为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与年初预算持平</w:t>
      </w:r>
      <w:r>
        <w:rPr>
          <w:rFonts w:hint="eastAsia" w:ascii="仿宋_GB2312" w:hAnsi="Times New Roman" w:eastAsia="仿宋_GB2312" w:cs="DengXian-Regular"/>
          <w:sz w:val="32"/>
          <w:szCs w:val="32"/>
        </w:rPr>
        <w:t>。较预算</w:t>
      </w:r>
      <w:r>
        <w:rPr>
          <w:rFonts w:hint="eastAsia" w:ascii="仿宋_GB2312" w:hAnsi="Times New Roman" w:eastAsia="仿宋_GB2312" w:cs="DengXian-Regular"/>
          <w:sz w:val="32"/>
          <w:szCs w:val="32"/>
          <w:lang w:eastAsia="zh-CN"/>
        </w:rPr>
        <w:t>无变化</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我单位</w:t>
      </w:r>
      <w:r>
        <w:rPr>
          <w:rFonts w:hint="eastAsia" w:ascii="仿宋_GB2312" w:hAnsi="Times New Roman" w:eastAsia="仿宋_GB2312" w:cs="DengXian-Regular"/>
          <w:sz w:val="32"/>
          <w:szCs w:val="32"/>
          <w:lang w:val="en-US" w:eastAsia="zh-CN"/>
        </w:rPr>
        <w:t>2022年度无公务用车购置及运行维护费工作安排</w:t>
      </w:r>
      <w:r>
        <w:rPr>
          <w:rFonts w:hint="eastAsia" w:ascii="仿宋_GB2312" w:hAnsi="Times New Roman" w:eastAsia="仿宋_GB2312" w:cs="DengXian-Regular"/>
          <w:sz w:val="32"/>
          <w:szCs w:val="32"/>
        </w:rPr>
        <w:t>；较上年</w:t>
      </w:r>
      <w:r>
        <w:rPr>
          <w:rFonts w:hint="eastAsia" w:ascii="仿宋_GB2312" w:hAnsi="Times New Roman" w:eastAsia="仿宋_GB2312" w:cs="DengXian-Regular"/>
          <w:sz w:val="32"/>
          <w:szCs w:val="32"/>
          <w:lang w:eastAsia="zh-CN"/>
        </w:rPr>
        <w:t>无变化</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我单位我单位</w:t>
      </w:r>
      <w:r>
        <w:rPr>
          <w:rFonts w:hint="eastAsia" w:ascii="仿宋_GB2312" w:hAnsi="Times New Roman" w:eastAsia="仿宋_GB2312" w:cs="DengXian-Regular"/>
          <w:sz w:val="32"/>
          <w:szCs w:val="32"/>
          <w:lang w:val="en-US" w:eastAsia="zh-CN"/>
        </w:rPr>
        <w:t>2022年度无公务用车购置及运行维护费工作安排</w:t>
      </w:r>
      <w:r>
        <w:rPr>
          <w:rFonts w:hint="eastAsia" w:ascii="仿宋_GB2312" w:hAnsi="Times New Roman" w:eastAsia="仿宋_GB2312" w:cs="DengXian-Regular"/>
          <w:sz w:val="32"/>
          <w:szCs w:val="32"/>
        </w:rPr>
        <w:t>。</w:t>
      </w:r>
      <w:r>
        <w:rPr>
          <w:rFonts w:hint="eastAsia" w:ascii="仿宋_GB2312" w:hAnsi="Times New Roman" w:eastAsia="仿宋_GB2312" w:cs="DengXian-Bold"/>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eastAsia="zh-CN"/>
        </w:rPr>
        <w:t>单位</w:t>
      </w:r>
      <w:r>
        <w:rPr>
          <w:rFonts w:hint="eastAsia" w:ascii="仿宋_GB2312" w:hAnsi="Times New Roman" w:eastAsia="仿宋_GB2312" w:cs="DengXian-Regular"/>
          <w:sz w:val="32"/>
          <w:szCs w:val="32"/>
        </w:rPr>
        <w:t>2022年度公务用车购置量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万元。公务用车购置费支出较预算</w:t>
      </w:r>
      <w:r>
        <w:rPr>
          <w:rFonts w:hint="eastAsia" w:ascii="仿宋_GB2312" w:hAnsi="Times New Roman" w:eastAsia="仿宋_GB2312" w:cs="DengXian-Regular"/>
          <w:sz w:val="32"/>
          <w:szCs w:val="32"/>
          <w:lang w:eastAsia="zh-CN"/>
        </w:rPr>
        <w:t>增减无变化，与预算持平</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我单位无公用用车购置工作安排</w:t>
      </w:r>
      <w:r>
        <w:rPr>
          <w:rFonts w:hint="eastAsia" w:ascii="仿宋_GB2312" w:hAnsi="Times New Roman" w:eastAsia="仿宋_GB2312" w:cs="DengXian-Regular"/>
          <w:sz w:val="32"/>
          <w:szCs w:val="32"/>
        </w:rPr>
        <w:t>；较上年</w:t>
      </w:r>
      <w:r>
        <w:rPr>
          <w:rFonts w:hint="eastAsia" w:ascii="仿宋_GB2312" w:hAnsi="Times New Roman" w:eastAsia="仿宋_GB2312" w:cs="DengXian-Regular"/>
          <w:sz w:val="32"/>
          <w:szCs w:val="32"/>
          <w:lang w:eastAsia="zh-CN"/>
        </w:rPr>
        <w:t>无变化</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我单位无公用用车购置工作安排</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公务用车运行维护费支出</w:t>
      </w:r>
      <w:r>
        <w:rPr>
          <w:rFonts w:hint="eastAsia" w:ascii="仿宋_GB2312" w:hAnsi="Times New Roman" w:eastAsia="仿宋_GB2312" w:cs="DengXian-Regular"/>
          <w:b/>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eastAsia="zh-CN"/>
        </w:rPr>
        <w:t>单位</w:t>
      </w:r>
      <w:r>
        <w:rPr>
          <w:rFonts w:hint="eastAsia" w:ascii="仿宋_GB2312" w:hAnsi="Times New Roman" w:eastAsia="仿宋_GB2312" w:cs="DengXian-Regular"/>
          <w:sz w:val="32"/>
          <w:szCs w:val="32"/>
        </w:rPr>
        <w:t>2022年度单位公务用车保有量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辆。公车运行维护费支出较预算</w:t>
      </w:r>
      <w:r>
        <w:rPr>
          <w:rFonts w:hint="eastAsia" w:ascii="仿宋_GB2312" w:hAnsi="Times New Roman" w:eastAsia="仿宋_GB2312" w:cs="DengXian-Regular"/>
          <w:sz w:val="32"/>
          <w:szCs w:val="32"/>
          <w:lang w:eastAsia="zh-CN"/>
        </w:rPr>
        <w:t>增减无变化，与预算持平</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我单位无公用用车</w:t>
      </w:r>
      <w:r>
        <w:rPr>
          <w:rFonts w:hint="eastAsia" w:ascii="仿宋_GB2312" w:hAnsi="Times New Roman" w:eastAsia="仿宋_GB2312" w:cs="DengXian-Regular"/>
          <w:sz w:val="32"/>
          <w:szCs w:val="32"/>
        </w:rPr>
        <w:t>；较</w:t>
      </w:r>
      <w:r>
        <w:rPr>
          <w:rFonts w:hint="eastAsia" w:ascii="仿宋_GB2312" w:hAnsi="Times New Roman" w:eastAsia="仿宋_GB2312" w:cs="DengXian-Regular"/>
          <w:sz w:val="32"/>
          <w:szCs w:val="32"/>
          <w:lang w:eastAsia="zh-CN"/>
        </w:rPr>
        <w:t>无变化</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我单位无公用用车</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eastAsia="zh-CN"/>
        </w:rPr>
        <w:t>单位</w:t>
      </w:r>
      <w:r>
        <w:rPr>
          <w:rFonts w:hint="eastAsia" w:ascii="仿宋_GB2312" w:hAnsi="Times New Roman" w:eastAsia="仿宋_GB2312" w:cs="DengXian-Regular"/>
          <w:sz w:val="32"/>
          <w:szCs w:val="32"/>
        </w:rPr>
        <w:t>2022年度公务接待费支出预算为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与预算持平</w:t>
      </w:r>
      <w:r>
        <w:rPr>
          <w:rFonts w:hint="eastAsia" w:ascii="仿宋_GB2312" w:hAnsi="Times New Roman" w:eastAsia="仿宋_GB2312" w:cs="DengXian-Regular"/>
          <w:sz w:val="32"/>
          <w:szCs w:val="32"/>
        </w:rPr>
        <w:t>。公务接待费支出较预算</w:t>
      </w:r>
      <w:r>
        <w:rPr>
          <w:rFonts w:hint="eastAsia" w:ascii="仿宋_GB2312" w:hAnsi="Times New Roman" w:eastAsia="仿宋_GB2312" w:cs="DengXian-Regular"/>
          <w:sz w:val="32"/>
          <w:szCs w:val="32"/>
          <w:lang w:eastAsia="zh-CN"/>
        </w:rPr>
        <w:t>增减无变化，与预算持平</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我单位</w:t>
      </w:r>
      <w:r>
        <w:rPr>
          <w:rFonts w:hint="eastAsia" w:ascii="仿宋_GB2312" w:hAnsi="Times New Roman" w:eastAsia="仿宋_GB2312" w:cs="DengXian-Regular"/>
          <w:sz w:val="32"/>
          <w:szCs w:val="32"/>
          <w:lang w:val="en-US" w:eastAsia="zh-CN"/>
        </w:rPr>
        <w:t>2022年度无公务接待工作任务安排</w:t>
      </w:r>
      <w:r>
        <w:rPr>
          <w:rFonts w:hint="eastAsia" w:ascii="仿宋_GB2312" w:hAnsi="Times New Roman" w:eastAsia="仿宋_GB2312" w:cs="DengXian-Regular"/>
          <w:sz w:val="32"/>
          <w:szCs w:val="32"/>
        </w:rPr>
        <w:t>；较上年度</w:t>
      </w:r>
      <w:r>
        <w:rPr>
          <w:rFonts w:hint="eastAsia" w:ascii="仿宋_GB2312" w:hAnsi="Times New Roman" w:eastAsia="仿宋_GB2312" w:cs="DengXian-Regular"/>
          <w:sz w:val="32"/>
          <w:szCs w:val="32"/>
          <w:lang w:eastAsia="zh-CN"/>
        </w:rPr>
        <w:t>无变化</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我单位无公务接待工作任务安排</w:t>
      </w:r>
      <w:r>
        <w:rPr>
          <w:rFonts w:hint="eastAsia" w:ascii="仿宋_GB2312" w:hAnsi="Times New Roman" w:eastAsia="仿宋_GB2312" w:cs="DengXian-Regular"/>
          <w:sz w:val="32"/>
          <w:szCs w:val="32"/>
        </w:rPr>
        <w:t>。本年度共发生公务接待</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w:t>
      </w:r>
    </w:p>
    <w:p>
      <w:pPr>
        <w:adjustRightInd w:val="0"/>
        <w:snapToGrid w:val="0"/>
        <w:spacing w:line="580" w:lineRule="exact"/>
        <w:ind w:left="420" w:leftChars="200" w:firstLine="320" w:firstLineChars="100"/>
        <w:rPr>
          <w:rFonts w:hint="eastAsia" w:ascii="黑体" w:hAnsi="Calibri" w:eastAsia="黑体" w:cs="Times New Roman"/>
          <w:sz w:val="32"/>
          <w:szCs w:val="32"/>
        </w:rPr>
      </w:pPr>
      <w:r>
        <w:rPr>
          <w:rFonts w:hint="eastAsia" w:ascii="黑体" w:hAnsi="Calibri" w:eastAsia="黑体" w:cs="Times New Roman"/>
          <w:sz w:val="32"/>
          <w:szCs w:val="32"/>
        </w:rPr>
        <w:t>六、机关运行经费支出说明</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lang w:eastAsia="zh-CN"/>
        </w:rPr>
        <w:t>我单位为事业单位，无机关运行经费支出。</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七、政府采购支出说明</w:t>
      </w:r>
    </w:p>
    <w:p>
      <w:pPr>
        <w:snapToGrid w:val="0"/>
        <w:spacing w:line="58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eastAsia="zh-CN"/>
        </w:rPr>
        <w:t>单位</w:t>
      </w:r>
      <w:r>
        <w:rPr>
          <w:rFonts w:hint="eastAsia" w:ascii="仿宋_GB2312" w:hAnsi="Times New Roman" w:eastAsia="仿宋_GB2312" w:cs="DengXian-Regular"/>
          <w:sz w:val="32"/>
          <w:szCs w:val="32"/>
        </w:rPr>
        <w:t>2022年度政府采购支出总额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万元、政府采购服务支出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lang w:val="en-US" w:eastAsia="zh-CN"/>
        </w:rPr>
        <w:t>0.0</w:t>
      </w:r>
      <w:r>
        <w:rPr>
          <w:rFonts w:ascii="仿宋_GB2312" w:hAnsi="仿宋_GB2312" w:eastAsia="仿宋_GB2312" w:cs="仿宋_GB2312"/>
          <w:color w:val="000000"/>
          <w:kern w:val="0"/>
          <w:sz w:val="32"/>
          <w:szCs w:val="32"/>
        </w:rPr>
        <w:t>%。</w:t>
      </w: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八、国有资产占用情况说明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截至2022年12月31日，本</w:t>
      </w:r>
      <w:r>
        <w:rPr>
          <w:rFonts w:hint="eastAsia" w:ascii="仿宋_GB2312" w:hAnsi="Times New Roman" w:eastAsia="仿宋_GB2312" w:cs="DengXian-Regular"/>
          <w:sz w:val="32"/>
          <w:szCs w:val="32"/>
          <w:lang w:eastAsia="zh-CN"/>
        </w:rPr>
        <w:t>单位</w:t>
      </w:r>
      <w:r>
        <w:rPr>
          <w:rFonts w:hint="eastAsia" w:ascii="仿宋_GB2312" w:hAnsi="Times New Roman" w:eastAsia="仿宋_GB2312" w:cs="DengXian-Regular"/>
          <w:sz w:val="32"/>
          <w:szCs w:val="32"/>
        </w:rPr>
        <w:t>共有车辆</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eastAsia="zh-CN"/>
        </w:rPr>
        <w:t>与上年持平</w:t>
      </w:r>
      <w:r>
        <w:rPr>
          <w:rFonts w:hint="eastAsia" w:ascii="仿宋_GB2312" w:hAnsi="Times New Roman" w:eastAsia="仿宋_GB2312" w:cs="DengXian-Regular"/>
          <w:sz w:val="32"/>
          <w:szCs w:val="32"/>
        </w:rPr>
        <w:t>。其中，副部（省）级及以上领导用车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辆；单位价值100万元以上设备（不含车辆）</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九、预算绩效情况说明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组织对2022年度一般公共预算项目支出全面开展绩效自评，其中，一级项目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88.73</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100.0</w:t>
      </w:r>
      <w:r>
        <w:rPr>
          <w:rFonts w:hint="eastAsia" w:ascii="仿宋_GB2312" w:hAnsi="仿宋_GB2312" w:eastAsia="仿宋_GB2312" w:cs="仿宋_GB2312"/>
          <w:sz w:val="32"/>
          <w:szCs w:val="32"/>
        </w:rPr>
        <w:t>%。组织对2022年度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个政府性基金预算项目支出开展绩效自评，共涉及资金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万元，占政府性基金预算项目支出总额的</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%。组织对2022年度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个国有资本经营预算项目支出开展绩效自评，共涉及资金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万元，占国有资本经营预算项目支出总额的</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w:t>
      </w:r>
    </w:p>
    <w:p>
      <w:pPr>
        <w:adjustRightInd w:val="0"/>
        <w:snapToGrid w:val="0"/>
        <w:spacing w:line="580" w:lineRule="exact"/>
        <w:ind w:firstLine="640" w:firstLineChars="200"/>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lang w:eastAsia="zh-CN"/>
        </w:rPr>
        <w:t>我单位未开展</w:t>
      </w:r>
      <w:r>
        <w:rPr>
          <w:rFonts w:hint="eastAsia" w:ascii="仿宋_GB2312" w:hAnsi="仿宋_GB2312" w:eastAsia="仿宋_GB2312" w:cs="仿宋_GB2312"/>
          <w:sz w:val="32"/>
          <w:szCs w:val="32"/>
        </w:rPr>
        <w:t>重点评价</w:t>
      </w:r>
      <w:r>
        <w:rPr>
          <w:rFonts w:hint="eastAsia" w:ascii="仿宋_GB2312" w:hAnsi="仿宋_GB2312" w:eastAsia="仿宋_GB2312" w:cs="仿宋_GB2312"/>
          <w:sz w:val="32"/>
          <w:szCs w:val="32"/>
          <w:lang w:eastAsia="zh-CN"/>
        </w:rPr>
        <w:t>。</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eastAsia="zh-CN"/>
        </w:rPr>
        <w:t>单位</w:t>
      </w:r>
      <w:r>
        <w:rPr>
          <w:rFonts w:hint="eastAsia" w:ascii="仿宋_GB2312" w:hAnsi="仿宋_GB2312" w:eastAsia="仿宋_GB2312" w:cs="仿宋_GB2312"/>
          <w:b/>
          <w:bCs/>
          <w:sz w:val="32"/>
          <w:szCs w:val="32"/>
        </w:rPr>
        <w:t>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在今年</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决算公开中反映外事服务经费项目</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个项目绩效自评结果。</w:t>
      </w:r>
    </w:p>
    <w:p>
      <w:pPr>
        <w:numPr>
          <w:ilvl w:val="0"/>
          <w:numId w:val="3"/>
        </w:numPr>
        <w:adjustRightInd w:val="0"/>
        <w:snapToGrid w:val="0"/>
        <w:spacing w:line="5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外事服务经费项目自评综述：根据年初设定的绩效目标，外事服务经费项目绩效自评得分为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92</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88.37</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96.1%</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highlight w:val="none"/>
        </w:rPr>
        <w:t>通过项目实施，完成了年初设定的各项绩效目标，</w:t>
      </w:r>
      <w:r>
        <w:rPr>
          <w:rFonts w:hint="default" w:ascii="仿宋_GB2312" w:hAnsi="仿宋_GB2312" w:eastAsia="仿宋_GB2312" w:cs="仿宋_GB2312"/>
          <w:sz w:val="32"/>
          <w:szCs w:val="32"/>
          <w:highlight w:val="none"/>
          <w:lang w:val="en-US" w:eastAsia="zh-CN"/>
        </w:rPr>
        <w:t>完成全年出国（境）团组手续办理工作</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完成数量指标</w:t>
      </w:r>
      <w:r>
        <w:rPr>
          <w:rFonts w:hint="eastAsia" w:ascii="仿宋_GB2312" w:hAnsi="仿宋_GB2312" w:eastAsia="仿宋_GB2312" w:cs="仿宋_GB2312"/>
          <w:sz w:val="32"/>
          <w:szCs w:val="32"/>
          <w:highlight w:val="none"/>
          <w:lang w:val="en-US" w:eastAsia="zh-CN"/>
        </w:rPr>
        <w:t>因公出国（境）工作人员8人</w:t>
      </w:r>
      <w:r>
        <w:rPr>
          <w:rFonts w:hint="eastAsia" w:ascii="仿宋_GB2312" w:hAnsi="仿宋_GB2312" w:eastAsia="仿宋_GB2312" w:cs="仿宋_GB2312"/>
          <w:sz w:val="32"/>
          <w:szCs w:val="32"/>
          <w:highlight w:val="none"/>
        </w:rPr>
        <w:t>等。未发现问题。</w:t>
      </w:r>
    </w:p>
    <w:tbl>
      <w:tblPr>
        <w:tblStyle w:val="6"/>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45"/>
        <w:gridCol w:w="560"/>
        <w:gridCol w:w="1259"/>
        <w:gridCol w:w="834"/>
        <w:gridCol w:w="770"/>
        <w:gridCol w:w="503"/>
        <w:gridCol w:w="584"/>
        <w:gridCol w:w="495"/>
        <w:gridCol w:w="848"/>
        <w:gridCol w:w="426"/>
        <w:gridCol w:w="1043"/>
        <w:gridCol w:w="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967" w:type="dxa"/>
            <w:gridSpan w:val="12"/>
            <w:vMerge w:val="restart"/>
            <w:tcBorders>
              <w:top w:val="single" w:color="B0C4DE" w:sz="4" w:space="0"/>
              <w:left w:val="single" w:color="B0C4DE" w:sz="4" w:space="0"/>
              <w:bottom w:val="single" w:color="B0C4DE" w:sz="4" w:space="0"/>
              <w:right w:val="single" w:color="B0C4DE"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i w:val="0"/>
                <w:iCs w:val="0"/>
                <w:color w:val="000000"/>
                <w:sz w:val="36"/>
                <w:szCs w:val="36"/>
                <w:u w:val="none"/>
              </w:rPr>
            </w:pPr>
            <w:r>
              <w:rPr>
                <w:rFonts w:hint="default" w:ascii="Arial" w:hAnsi="Arial" w:eastAsia="宋体" w:cs="Arial"/>
                <w:i w:val="0"/>
                <w:iCs w:val="0"/>
                <w:color w:val="000000"/>
                <w:kern w:val="0"/>
                <w:sz w:val="36"/>
                <w:szCs w:val="36"/>
                <w:u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967" w:type="dxa"/>
            <w:gridSpan w:val="12"/>
            <w:vMerge w:val="continue"/>
            <w:tcBorders>
              <w:top w:val="single" w:color="B0C4DE" w:sz="4" w:space="0"/>
              <w:left w:val="single" w:color="B0C4DE" w:sz="4" w:space="0"/>
              <w:bottom w:val="single" w:color="B0C4DE" w:sz="4" w:space="0"/>
              <w:right w:val="single" w:color="B0C4DE" w:sz="4" w:space="0"/>
            </w:tcBorders>
            <w:shd w:val="clear" w:color="auto" w:fill="auto"/>
            <w:noWrap/>
            <w:vAlign w:val="center"/>
          </w:tcPr>
          <w:p>
            <w:pPr>
              <w:jc w:val="center"/>
              <w:rPr>
                <w:rFonts w:hint="default" w:ascii="Arial" w:hAnsi="Arial" w:eastAsia="宋体" w:cs="Arial"/>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4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填报单位：</w:t>
            </w:r>
          </w:p>
        </w:tc>
        <w:tc>
          <w:tcPr>
            <w:tcW w:w="2613" w:type="dxa"/>
            <w:gridSpan w:val="3"/>
            <w:tcBorders>
              <w:top w:val="single" w:color="B0C4DE" w:sz="4" w:space="0"/>
              <w:left w:val="nil"/>
              <w:bottom w:val="nil"/>
              <w:right w:val="single" w:color="B0C4DE"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保定市外事服务中心</w:t>
            </w:r>
          </w:p>
        </w:tc>
        <w:tc>
          <w:tcPr>
            <w:tcW w:w="77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03"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84"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single" w:color="B0C4DE" w:sz="4" w:space="0"/>
              <w:left w:val="single" w:color="B0C4DE" w:sz="4" w:space="0"/>
              <w:bottom w:val="nil"/>
              <w:right w:val="single" w:color="B0C4DE"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8" w:type="dxa"/>
            <w:tcBorders>
              <w:top w:val="single" w:color="B0C4DE" w:sz="4" w:space="0"/>
              <w:left w:val="single" w:color="B0C4DE" w:sz="4" w:space="0"/>
              <w:bottom w:val="nil"/>
              <w:right w:val="single" w:color="B0C4DE"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26" w:type="dxa"/>
            <w:tcBorders>
              <w:top w:val="single" w:color="B0C4DE" w:sz="4" w:space="0"/>
              <w:left w:val="single" w:color="B0C4DE" w:sz="4" w:space="0"/>
              <w:bottom w:val="nil"/>
              <w:right w:val="single" w:color="B0C4DE"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3" w:type="dxa"/>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lang w:val="en-US" w:eastAsia="zh-CN" w:bidi="ar"/>
              </w:rPr>
              <w:t>金额单位</w:t>
            </w:r>
          </w:p>
        </w:tc>
        <w:tc>
          <w:tcPr>
            <w:tcW w:w="628" w:type="dxa"/>
            <w:tcBorders>
              <w:top w:val="single" w:color="B0C4DE" w:sz="4" w:space="0"/>
              <w:left w:val="single" w:color="B0C4DE" w:sz="4" w:space="0"/>
              <w:bottom w:val="nil"/>
              <w:right w:val="single" w:color="B0C4DE" w:sz="4" w:space="0"/>
            </w:tcBorders>
            <w:shd w:val="clear" w:color="auto" w:fill="auto"/>
            <w:noWrap/>
            <w:vAlign w:val="top"/>
          </w:tcPr>
          <w:p>
            <w:pPr>
              <w:keepNext w:val="0"/>
              <w:keepLines w:val="0"/>
              <w:widowControl/>
              <w:suppressLineNumbers w:val="0"/>
              <w:jc w:val="left"/>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一、基本情况</w:t>
            </w:r>
          </w:p>
        </w:tc>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lang w:val="en-US" w:eastAsia="zh-CN" w:bidi="ar"/>
              </w:rPr>
              <w:t>项目名称</w:t>
            </w:r>
          </w:p>
        </w:tc>
        <w:tc>
          <w:tcPr>
            <w:tcW w:w="20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外事服务经费</w:t>
            </w:r>
          </w:p>
        </w:tc>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lang w:val="en-US" w:eastAsia="zh-CN" w:bidi="ar"/>
              </w:rPr>
              <w:t>项目级次</w:t>
            </w:r>
          </w:p>
        </w:tc>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本级</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lang w:val="en-US" w:eastAsia="zh-CN" w:bidi="ar"/>
              </w:rPr>
              <w:t>实施主管单位</w:t>
            </w:r>
          </w:p>
        </w:tc>
        <w:tc>
          <w:tcPr>
            <w:tcW w:w="294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438004 - 保定市外事服务中心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1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二、预算执行情况</w:t>
            </w:r>
          </w:p>
        </w:tc>
        <w:tc>
          <w:tcPr>
            <w:tcW w:w="179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预算安排情况(调整后)</w:t>
            </w:r>
          </w:p>
        </w:tc>
        <w:tc>
          <w:tcPr>
            <w:tcW w:w="210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资金到位情况</w:t>
            </w:r>
          </w:p>
        </w:tc>
        <w:tc>
          <w:tcPr>
            <w:tcW w:w="235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资金执行情况</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预算执行进度(%)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i w:val="0"/>
                <w:iCs w:val="0"/>
                <w:color w:val="000000"/>
                <w:sz w:val="22"/>
                <w:szCs w:val="22"/>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lang w:val="en-US" w:eastAsia="zh-CN" w:bidi="ar"/>
              </w:rPr>
              <w:t>预算数</w:t>
            </w:r>
          </w:p>
        </w:tc>
        <w:tc>
          <w:tcPr>
            <w:tcW w:w="12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92.000000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lang w:val="en-US" w:eastAsia="zh-CN" w:bidi="ar"/>
              </w:rPr>
              <w:t>到位数</w:t>
            </w:r>
          </w:p>
        </w:tc>
        <w:tc>
          <w:tcPr>
            <w:tcW w:w="127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92.000000</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lang w:val="en-US" w:eastAsia="zh-CN" w:bidi="ar"/>
              </w:rPr>
              <w:t>执行数</w:t>
            </w:r>
          </w:p>
        </w:tc>
        <w:tc>
          <w:tcPr>
            <w:tcW w:w="12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88.370000</w:t>
            </w:r>
          </w:p>
        </w:tc>
        <w:tc>
          <w:tcPr>
            <w:tcW w:w="1671"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i w:val="0"/>
                <w:iCs w:val="0"/>
                <w:color w:val="000000"/>
                <w:sz w:val="22"/>
                <w:szCs w:val="22"/>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lang w:val="en-US" w:eastAsia="zh-CN" w:bidi="ar"/>
              </w:rPr>
              <w:t>其中:财政资金</w:t>
            </w:r>
          </w:p>
        </w:tc>
        <w:tc>
          <w:tcPr>
            <w:tcW w:w="12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92.000000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lang w:val="en-US" w:eastAsia="zh-CN" w:bidi="ar"/>
              </w:rPr>
              <w:t>其中:财政资金</w:t>
            </w:r>
          </w:p>
        </w:tc>
        <w:tc>
          <w:tcPr>
            <w:tcW w:w="127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92.000000</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lang w:val="en-US" w:eastAsia="zh-CN" w:bidi="ar"/>
              </w:rPr>
              <w:t>其中:财政资金</w:t>
            </w:r>
          </w:p>
        </w:tc>
        <w:tc>
          <w:tcPr>
            <w:tcW w:w="12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88.370000</w:t>
            </w:r>
          </w:p>
        </w:tc>
        <w:tc>
          <w:tcPr>
            <w:tcW w:w="1671"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i w:val="0"/>
                <w:iCs w:val="0"/>
                <w:color w:val="000000"/>
                <w:sz w:val="22"/>
                <w:szCs w:val="22"/>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lang w:val="en-US" w:eastAsia="zh-CN" w:bidi="ar"/>
              </w:rPr>
              <w:t>其他</w:t>
            </w:r>
          </w:p>
        </w:tc>
        <w:tc>
          <w:tcPr>
            <w:tcW w:w="12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lang w:val="en-US" w:eastAsia="zh-CN" w:bidi="ar"/>
              </w:rPr>
              <w:t>其他</w:t>
            </w:r>
          </w:p>
        </w:tc>
        <w:tc>
          <w:tcPr>
            <w:tcW w:w="127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lang w:val="en-US" w:eastAsia="zh-CN" w:bidi="ar"/>
              </w:rPr>
              <w:t>其他</w:t>
            </w:r>
          </w:p>
        </w:tc>
        <w:tc>
          <w:tcPr>
            <w:tcW w:w="12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671"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1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三、目标完成情况</w:t>
            </w:r>
          </w:p>
        </w:tc>
        <w:tc>
          <w:tcPr>
            <w:tcW w:w="340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年度预期目标</w:t>
            </w:r>
          </w:p>
        </w:tc>
        <w:tc>
          <w:tcPr>
            <w:tcW w:w="285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具体完成情况</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总体完成率(%)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5" w:hRule="atLeast"/>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i w:val="0"/>
                <w:iCs w:val="0"/>
                <w:color w:val="000000"/>
                <w:sz w:val="22"/>
                <w:szCs w:val="22"/>
                <w:u w:val="none"/>
              </w:rPr>
            </w:pPr>
          </w:p>
        </w:tc>
        <w:tc>
          <w:tcPr>
            <w:tcW w:w="340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代办因公出国（境）手续，为开展对外交流与合作提供服务</w:t>
            </w:r>
          </w:p>
        </w:tc>
        <w:tc>
          <w:tcPr>
            <w:tcW w:w="285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完成全年因公出国（境）团组手续办理工作，确保团组顺利成行。</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1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四、年度绩效        指标完成情况</w:t>
            </w: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一级指标</w:t>
            </w:r>
          </w:p>
        </w:tc>
        <w:tc>
          <w:tcPr>
            <w:tcW w:w="12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二级指标</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三级指标</w:t>
            </w:r>
          </w:p>
        </w:tc>
        <w:tc>
          <w:tcPr>
            <w:tcW w:w="7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指标分值</w:t>
            </w:r>
          </w:p>
        </w:tc>
        <w:tc>
          <w:tcPr>
            <w:tcW w:w="158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预期指标值</w:t>
            </w: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单项指标实际完成值</w:t>
            </w:r>
          </w:p>
        </w:tc>
        <w:tc>
          <w:tcPr>
            <w:tcW w:w="42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单项指标完成情况</w:t>
            </w: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自评得分</w:t>
            </w:r>
          </w:p>
        </w:tc>
        <w:tc>
          <w:tcPr>
            <w:tcW w:w="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eastAsia="宋体" w:cs="Arial"/>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i w:val="0"/>
                <w:iCs w:val="0"/>
                <w:color w:val="000000"/>
                <w:sz w:val="22"/>
                <w:szCs w:val="22"/>
                <w:u w:val="none"/>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i w:val="0"/>
                <w:iCs w:val="0"/>
                <w:color w:val="000000"/>
                <w:sz w:val="22"/>
                <w:szCs w:val="22"/>
                <w:u w:val="none"/>
              </w:rPr>
            </w:pPr>
          </w:p>
        </w:tc>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i w:val="0"/>
                <w:iCs w:val="0"/>
                <w:color w:val="000000"/>
                <w:sz w:val="22"/>
                <w:szCs w:val="22"/>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i w:val="0"/>
                <w:iCs w:val="0"/>
                <w:color w:val="000000"/>
                <w:sz w:val="22"/>
                <w:szCs w:val="22"/>
                <w:u w:val="none"/>
              </w:rPr>
            </w:pPr>
          </w:p>
        </w:tc>
        <w:tc>
          <w:tcPr>
            <w:tcW w:w="7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i w:val="0"/>
                <w:iCs w:val="0"/>
                <w:color w:val="000000"/>
                <w:sz w:val="22"/>
                <w:szCs w:val="22"/>
                <w:u w:val="none"/>
              </w:rPr>
            </w:pPr>
          </w:p>
        </w:tc>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符号</w:t>
            </w:r>
          </w:p>
        </w:tc>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值</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单位(文字描述)</w:t>
            </w: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i w:val="0"/>
                <w:iCs w:val="0"/>
                <w:color w:val="000000"/>
                <w:sz w:val="22"/>
                <w:szCs w:val="22"/>
                <w:u w:val="none"/>
              </w:rPr>
            </w:pPr>
          </w:p>
        </w:tc>
        <w:tc>
          <w:tcPr>
            <w:tcW w:w="42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i w:val="0"/>
                <w:iCs w:val="0"/>
                <w:color w:val="000000"/>
                <w:sz w:val="22"/>
                <w:szCs w:val="22"/>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i w:val="0"/>
                <w:iCs w:val="0"/>
                <w:color w:val="000000"/>
                <w:sz w:val="22"/>
                <w:szCs w:val="22"/>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eastAsia="宋体" w:cs="Arial"/>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i w:val="0"/>
                <w:iCs w:val="0"/>
                <w:color w:val="000000"/>
                <w:sz w:val="22"/>
                <w:szCs w:val="22"/>
                <w:u w:val="none"/>
              </w:rPr>
            </w:pP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lang w:val="en-US" w:eastAsia="zh-CN" w:bidi="ar"/>
              </w:rPr>
              <w:t>产出指标</w:t>
            </w:r>
          </w:p>
        </w:tc>
        <w:tc>
          <w:tcPr>
            <w:tcW w:w="12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质量指标</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业务工作完成率（%）</w:t>
            </w:r>
          </w:p>
        </w:tc>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20.00</w:t>
            </w:r>
          </w:p>
        </w:tc>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&gt;=</w:t>
            </w:r>
          </w:p>
        </w:tc>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95</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完成全年出国（境）团组手续办理工作</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完成</w:t>
            </w:r>
          </w:p>
        </w:tc>
        <w:tc>
          <w:tcPr>
            <w:tcW w:w="10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i w:val="0"/>
                <w:iCs w:val="0"/>
                <w:color w:val="000000"/>
                <w:sz w:val="22"/>
                <w:szCs w:val="22"/>
                <w:u w:val="none"/>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eastAsia="宋体" w:cs="Arial"/>
                <w:b/>
                <w:bCs/>
                <w:i w:val="0"/>
                <w:iCs w:val="0"/>
                <w:color w:val="000000"/>
                <w:sz w:val="22"/>
                <w:szCs w:val="22"/>
                <w:u w:val="none"/>
              </w:rPr>
            </w:pPr>
          </w:p>
        </w:tc>
        <w:tc>
          <w:tcPr>
            <w:tcW w:w="12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数量指标</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因公出国（境）团组办结率</w:t>
            </w:r>
          </w:p>
        </w:tc>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w:t>
            </w:r>
          </w:p>
        </w:tc>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&gt;=</w:t>
            </w:r>
          </w:p>
        </w:tc>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人</w:t>
            </w:r>
          </w:p>
        </w:tc>
        <w:tc>
          <w:tcPr>
            <w:tcW w:w="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Style w:val="17"/>
                <w:lang w:val="en-US" w:eastAsia="zh-CN" w:bidi="ar"/>
              </w:rPr>
              <w:t>因公出国（境）工作人员</w:t>
            </w:r>
            <w:r>
              <w:rPr>
                <w:rStyle w:val="18"/>
                <w:rFonts w:eastAsia="宋体"/>
                <w:lang w:val="en-US" w:eastAsia="zh-CN" w:bidi="ar"/>
              </w:rPr>
              <w:t>8</w:t>
            </w:r>
            <w:r>
              <w:rPr>
                <w:rStyle w:val="17"/>
                <w:lang w:val="en-US" w:eastAsia="zh-CN" w:bidi="ar"/>
              </w:rPr>
              <w:t>人</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完成</w:t>
            </w:r>
          </w:p>
        </w:tc>
        <w:tc>
          <w:tcPr>
            <w:tcW w:w="10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i w:val="0"/>
                <w:iCs w:val="0"/>
                <w:color w:val="000000"/>
                <w:sz w:val="22"/>
                <w:szCs w:val="22"/>
                <w:u w:val="none"/>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eastAsia="宋体" w:cs="Arial"/>
                <w:b/>
                <w:bCs/>
                <w:i w:val="0"/>
                <w:iCs w:val="0"/>
                <w:color w:val="000000"/>
                <w:sz w:val="22"/>
                <w:szCs w:val="22"/>
                <w:u w:val="none"/>
              </w:rPr>
            </w:pPr>
          </w:p>
        </w:tc>
        <w:tc>
          <w:tcPr>
            <w:tcW w:w="12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成本指标</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 成本控制率</w:t>
            </w:r>
          </w:p>
        </w:tc>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w:t>
            </w:r>
          </w:p>
        </w:tc>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控制在预算数内</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完成</w:t>
            </w:r>
          </w:p>
        </w:tc>
        <w:tc>
          <w:tcPr>
            <w:tcW w:w="10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i w:val="0"/>
                <w:iCs w:val="0"/>
                <w:color w:val="000000"/>
                <w:sz w:val="22"/>
                <w:szCs w:val="22"/>
                <w:u w:val="none"/>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eastAsia="宋体" w:cs="Arial"/>
                <w:b/>
                <w:bCs/>
                <w:i w:val="0"/>
                <w:iCs w:val="0"/>
                <w:color w:val="000000"/>
                <w:sz w:val="22"/>
                <w:szCs w:val="22"/>
                <w:u w:val="none"/>
              </w:rPr>
            </w:pPr>
          </w:p>
        </w:tc>
        <w:tc>
          <w:tcPr>
            <w:tcW w:w="12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时效指标</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因公出国（境）团组办结率</w:t>
            </w:r>
          </w:p>
        </w:tc>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w:t>
            </w:r>
          </w:p>
        </w:tc>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&gt;=</w:t>
            </w:r>
          </w:p>
        </w:tc>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95</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按期办结，确保团组顺利成行。</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完成</w:t>
            </w:r>
          </w:p>
        </w:tc>
        <w:tc>
          <w:tcPr>
            <w:tcW w:w="10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i w:val="0"/>
                <w:iCs w:val="0"/>
                <w:color w:val="000000"/>
                <w:sz w:val="22"/>
                <w:szCs w:val="22"/>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lang w:val="en-US" w:eastAsia="zh-CN" w:bidi="ar"/>
              </w:rPr>
              <w:t>效益指标</w:t>
            </w:r>
          </w:p>
        </w:tc>
        <w:tc>
          <w:tcPr>
            <w:tcW w:w="12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社会效益指标</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因公出国（境）团组办结率</w:t>
            </w:r>
          </w:p>
        </w:tc>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30.00</w:t>
            </w:r>
          </w:p>
        </w:tc>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&gt;=</w:t>
            </w:r>
          </w:p>
        </w:tc>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95</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提供高效服务，确保团组顺利成行</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完成</w:t>
            </w:r>
          </w:p>
        </w:tc>
        <w:tc>
          <w:tcPr>
            <w:tcW w:w="10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w:t>
            </w:r>
          </w:p>
        </w:tc>
        <w:tc>
          <w:tcPr>
            <w:tcW w:w="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i w:val="0"/>
                <w:iCs w:val="0"/>
                <w:color w:val="000000"/>
                <w:sz w:val="22"/>
                <w:szCs w:val="22"/>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lang w:val="en-US" w:eastAsia="zh-CN" w:bidi="ar"/>
              </w:rPr>
              <w:t>满意度指标</w:t>
            </w:r>
          </w:p>
        </w:tc>
        <w:tc>
          <w:tcPr>
            <w:tcW w:w="12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客户满意度</w:t>
            </w:r>
          </w:p>
        </w:tc>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w:t>
            </w:r>
          </w:p>
        </w:tc>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&gt;=</w:t>
            </w:r>
          </w:p>
        </w:tc>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95</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100%满意</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完成</w:t>
            </w:r>
          </w:p>
        </w:tc>
        <w:tc>
          <w:tcPr>
            <w:tcW w:w="10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i w:val="0"/>
                <w:iCs w:val="0"/>
                <w:color w:val="000000"/>
                <w:sz w:val="22"/>
                <w:szCs w:val="22"/>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lang w:val="en-US" w:eastAsia="zh-CN" w:bidi="ar"/>
              </w:rPr>
              <w:t>预算执行率</w:t>
            </w:r>
          </w:p>
        </w:tc>
        <w:tc>
          <w:tcPr>
            <w:tcW w:w="12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预算执行率</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Calibri" w:hAnsi="Calibri" w:eastAsia="宋体" w:cs="Calibri"/>
                <w:i w:val="0"/>
                <w:iCs w:val="0"/>
                <w:color w:val="000000"/>
                <w:sz w:val="22"/>
                <w:szCs w:val="22"/>
                <w:u w:val="none"/>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Calibri" w:hAnsi="Calibri" w:eastAsia="宋体" w:cs="Calibri"/>
                <w:i w:val="0"/>
                <w:iCs w:val="0"/>
                <w:color w:val="000000"/>
                <w:sz w:val="22"/>
                <w:szCs w:val="22"/>
                <w:u w:val="none"/>
              </w:rPr>
            </w:pPr>
          </w:p>
        </w:tc>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Calibri" w:hAnsi="Calibri" w:eastAsia="宋体" w:cs="Calibri"/>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Calibri" w:hAnsi="Calibri" w:eastAsia="宋体" w:cs="Calibri"/>
                <w:i w:val="0"/>
                <w:iCs w:val="0"/>
                <w:color w:val="000000"/>
                <w:sz w:val="22"/>
                <w:szCs w:val="22"/>
                <w:u w:val="none"/>
              </w:rPr>
            </w:pPr>
          </w:p>
        </w:tc>
        <w:tc>
          <w:tcPr>
            <w:tcW w:w="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Calibri" w:hAnsi="Calibri" w:eastAsia="宋体" w:cs="Calibri"/>
                <w:i w:val="0"/>
                <w:iCs w:val="0"/>
                <w:color w:val="000000"/>
                <w:sz w:val="22"/>
                <w:szCs w:val="22"/>
                <w:u w:val="none"/>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Calibri" w:hAnsi="Calibri" w:eastAsia="宋体" w:cs="Calibri"/>
                <w:i w:val="0"/>
                <w:iCs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Calibri" w:hAnsi="Calibri" w:eastAsia="宋体" w:cs="Calibri"/>
                <w:i w:val="0"/>
                <w:iCs w:val="0"/>
                <w:color w:val="000000"/>
                <w:sz w:val="22"/>
                <w:szCs w:val="22"/>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i w:val="0"/>
                <w:iCs w:val="0"/>
                <w:color w:val="000000"/>
                <w:sz w:val="22"/>
                <w:szCs w:val="22"/>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lang w:val="en-US" w:eastAsia="zh-CN" w:bidi="ar"/>
              </w:rPr>
              <w:t>自评总分</w:t>
            </w:r>
          </w:p>
        </w:tc>
        <w:tc>
          <w:tcPr>
            <w:tcW w:w="7390"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1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五、存在问题         原因及整改措施</w:t>
            </w:r>
          </w:p>
        </w:tc>
        <w:tc>
          <w:tcPr>
            <w:tcW w:w="7822" w:type="dxa"/>
            <w:gridSpan w:val="11"/>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Calibri" w:hAnsi="Calibri" w:eastAsia="宋体" w:cs="Calibri"/>
                <w:i w:val="0"/>
                <w:iCs w:val="0"/>
                <w:color w:val="000000"/>
                <w:sz w:val="22"/>
                <w:szCs w:val="22"/>
                <w:u w:val="none"/>
              </w:rPr>
            </w:pPr>
          </w:p>
        </w:tc>
        <w:tc>
          <w:tcPr>
            <w:tcW w:w="7822" w:type="dxa"/>
            <w:gridSpan w:val="11"/>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填报人:</w:t>
            </w:r>
          </w:p>
        </w:tc>
        <w:tc>
          <w:tcPr>
            <w:tcW w:w="261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王春苗</w:t>
            </w:r>
          </w:p>
        </w:tc>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lang w:val="en-US" w:eastAsia="zh-CN" w:bidi="ar"/>
              </w:rPr>
              <w:t>联系电话:</w:t>
            </w:r>
          </w:p>
        </w:tc>
        <w:tc>
          <w:tcPr>
            <w:tcW w:w="4527"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13833000872</w:t>
            </w:r>
          </w:p>
        </w:tc>
      </w:tr>
    </w:tbl>
    <w:p>
      <w:pPr>
        <w:numPr>
          <w:ilvl w:val="0"/>
          <w:numId w:val="0"/>
        </w:numPr>
        <w:adjustRightInd w:val="0"/>
        <w:snapToGrid w:val="0"/>
        <w:spacing w:line="580" w:lineRule="exact"/>
        <w:rPr>
          <w:rFonts w:ascii="仿宋_GB2312" w:hAnsi="仿宋_GB2312" w:eastAsia="仿宋_GB2312" w:cs="仿宋_GB2312"/>
          <w:sz w:val="32"/>
          <w:szCs w:val="32"/>
        </w:rPr>
      </w:pPr>
    </w:p>
    <w:p>
      <w:pPr>
        <w:numPr>
          <w:ilvl w:val="0"/>
          <w:numId w:val="4"/>
        </w:numPr>
        <w:adjustRightInd w:val="0"/>
        <w:snapToGrid w:val="0"/>
        <w:spacing w:line="580" w:lineRule="exact"/>
        <w:ind w:left="420" w:leftChars="200" w:firstLine="321" w:firstLineChars="1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财政部门</w:t>
      </w:r>
      <w:r>
        <w:rPr>
          <w:rFonts w:hint="eastAsia" w:ascii="仿宋_GB2312" w:hAnsi="仿宋_GB2312" w:eastAsia="仿宋_GB2312" w:cs="仿宋_GB2312"/>
          <w:b/>
          <w:bCs/>
          <w:sz w:val="32"/>
          <w:szCs w:val="32"/>
        </w:rPr>
        <w:t>评价项目绩效评价结果</w:t>
      </w:r>
    </w:p>
    <w:p>
      <w:pPr>
        <w:adjustRightInd w:val="0"/>
        <w:snapToGrid w:val="0"/>
        <w:spacing w:line="580" w:lineRule="exact"/>
        <w:ind w:firstLine="640" w:firstLineChars="200"/>
        <w:rPr>
          <w:rFonts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本</w:t>
      </w:r>
      <w:r>
        <w:rPr>
          <w:rFonts w:ascii="仿宋" w:hAnsi="仿宋" w:eastAsia="仿宋" w:cs="仿宋"/>
          <w:color w:val="000000"/>
          <w:kern w:val="0"/>
          <w:sz w:val="32"/>
          <w:szCs w:val="32"/>
          <w:lang w:val="en-US" w:eastAsia="zh-CN" w:bidi="ar"/>
        </w:rPr>
        <w:t>单位</w:t>
      </w:r>
      <w:r>
        <w:rPr>
          <w:rFonts w:hint="eastAsia" w:ascii="仿宋" w:hAnsi="仿宋" w:eastAsia="仿宋" w:cs="仿宋"/>
          <w:color w:val="000000"/>
          <w:kern w:val="0"/>
          <w:sz w:val="32"/>
          <w:szCs w:val="32"/>
          <w:lang w:val="en-US" w:eastAsia="zh-CN" w:bidi="ar"/>
        </w:rPr>
        <w:t>本年度</w:t>
      </w:r>
      <w:r>
        <w:rPr>
          <w:rFonts w:ascii="仿宋" w:hAnsi="仿宋" w:eastAsia="仿宋" w:cs="仿宋"/>
          <w:color w:val="000000"/>
          <w:kern w:val="0"/>
          <w:sz w:val="32"/>
          <w:szCs w:val="32"/>
          <w:lang w:val="en-US" w:eastAsia="zh-CN" w:bidi="ar"/>
        </w:rPr>
        <w:t>无财政评价项目绩效。</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adjustRightInd w:val="0"/>
        <w:snapToGrid w:val="0"/>
        <w:spacing w:line="580" w:lineRule="exact"/>
        <w:ind w:firstLine="640" w:firstLineChars="200"/>
        <w:rPr>
          <w:rFonts w:hint="eastAsia" w:ascii="仿宋" w:hAnsi="仿宋" w:eastAsia="仿宋" w:cs="仿宋"/>
          <w:color w:val="000000"/>
          <w:kern w:val="0"/>
          <w:sz w:val="32"/>
          <w:szCs w:val="32"/>
          <w:lang w:val="en-US" w:eastAsia="zh-CN" w:bidi="ar"/>
        </w:rPr>
      </w:pPr>
      <w:r>
        <w:rPr>
          <w:rFonts w:hint="eastAsia" w:ascii="仿宋_GB2312" w:hAnsi="Times New Roman" w:eastAsia="仿宋_GB2312" w:cs="DengXian-Regular"/>
          <w:sz w:val="32"/>
          <w:szCs w:val="32"/>
        </w:rPr>
        <w:t xml:space="preserve">1. </w:t>
      </w:r>
      <w:r>
        <w:rPr>
          <w:rFonts w:hint="eastAsia" w:ascii="仿宋" w:hAnsi="仿宋" w:eastAsia="仿宋" w:cs="仿宋"/>
          <w:color w:val="000000"/>
          <w:kern w:val="0"/>
          <w:sz w:val="32"/>
          <w:szCs w:val="32"/>
          <w:lang w:val="en-US" w:eastAsia="zh-CN" w:bidi="ar"/>
        </w:rPr>
        <w:t>本单位2022年度一般公共预算财政拨款基本支出决算</w:t>
      </w:r>
      <w:r>
        <w:rPr>
          <w:rFonts w:hint="default" w:ascii="仿宋" w:hAnsi="仿宋" w:eastAsia="仿宋" w:cs="仿宋"/>
          <w:color w:val="000000"/>
          <w:kern w:val="0"/>
          <w:sz w:val="32"/>
          <w:szCs w:val="32"/>
          <w:lang w:val="en-US" w:eastAsia="zh-CN" w:bidi="ar"/>
        </w:rPr>
        <w:t>明细表</w:t>
      </w:r>
      <w:r>
        <w:rPr>
          <w:rFonts w:hint="eastAsia" w:ascii="仿宋" w:hAnsi="仿宋" w:eastAsia="仿宋" w:cs="仿宋"/>
          <w:color w:val="000000"/>
          <w:kern w:val="0"/>
          <w:sz w:val="32"/>
          <w:szCs w:val="32"/>
          <w:lang w:val="en-US" w:eastAsia="zh-CN" w:bidi="ar"/>
        </w:rPr>
        <w:t>无相关支出情况、政府性基金预算财政拨款收入支出决算表无收支及结转结余情况，国有资本经营预算财政拨款支出决算表无相关支出情况，故一般公共预算财政拨款基本支出决算</w:t>
      </w:r>
      <w:r>
        <w:rPr>
          <w:rFonts w:hint="default" w:ascii="仿宋" w:hAnsi="仿宋" w:eastAsia="仿宋" w:cs="仿宋"/>
          <w:color w:val="000000"/>
          <w:kern w:val="0"/>
          <w:sz w:val="32"/>
          <w:szCs w:val="32"/>
          <w:lang w:val="en-US" w:eastAsia="zh-CN" w:bidi="ar"/>
        </w:rPr>
        <w:t>明细</w:t>
      </w:r>
      <w:r>
        <w:rPr>
          <w:rFonts w:hint="eastAsia" w:ascii="仿宋" w:hAnsi="仿宋" w:eastAsia="仿宋" w:cs="仿宋"/>
          <w:color w:val="000000"/>
          <w:kern w:val="0"/>
          <w:sz w:val="32"/>
          <w:szCs w:val="32"/>
          <w:lang w:val="en-US" w:eastAsia="zh-CN" w:bidi="ar"/>
        </w:rPr>
        <w:t>表、政府性基金预算财政拨款收入支出决算表、国有资本经营预算财政拨款支出决算表以空表列示。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p>
    <w:p>
      <w:pPr>
        <w:widowControl/>
        <w:jc w:val="center"/>
        <w:rPr>
          <w:rFonts w:hint="eastAsia" w:ascii="黑体" w:hAnsi="黑体" w:eastAsia="黑体" w:cs="黑体"/>
          <w:color w:val="000000"/>
          <w:sz w:val="44"/>
          <w:szCs w:val="44"/>
        </w:rPr>
      </w:pPr>
    </w:p>
    <w:p>
      <w:pPr>
        <w:widowControl/>
        <w:jc w:val="center"/>
        <w:rPr>
          <w:rFonts w:hint="eastAsia" w:ascii="黑体" w:hAnsi="黑体" w:eastAsia="黑体" w:cs="黑体"/>
          <w:color w:val="000000"/>
          <w:sz w:val="44"/>
          <w:szCs w:val="44"/>
        </w:rPr>
      </w:pPr>
    </w:p>
    <w:p>
      <w:pPr>
        <w:widowControl/>
        <w:jc w:val="center"/>
        <w:rPr>
          <w:rFonts w:hint="eastAsia" w:ascii="黑体" w:hAnsi="黑体" w:eastAsia="黑体" w:cs="黑体"/>
          <w:color w:val="000000"/>
          <w:sz w:val="44"/>
          <w:szCs w:val="44"/>
        </w:rPr>
      </w:pPr>
    </w:p>
    <w:p>
      <w:pPr>
        <w:widowControl/>
        <w:jc w:val="center"/>
        <w:rPr>
          <w:rFonts w:hint="eastAsia" w:ascii="黑体" w:hAnsi="黑体" w:eastAsia="黑体" w:cs="黑体"/>
          <w:color w:val="000000"/>
          <w:sz w:val="44"/>
          <w:szCs w:val="44"/>
        </w:rPr>
      </w:pPr>
    </w:p>
    <w:p>
      <w:pPr>
        <w:widowControl/>
        <w:jc w:val="center"/>
        <w:rPr>
          <w:rFonts w:hint="eastAsia" w:ascii="黑体" w:hAnsi="黑体" w:eastAsia="黑体" w:cs="黑体"/>
          <w:color w:val="000000"/>
          <w:sz w:val="44"/>
          <w:szCs w:val="44"/>
        </w:rPr>
      </w:pPr>
    </w:p>
    <w:p>
      <w:pPr>
        <w:widowControl/>
        <w:jc w:val="center"/>
        <w:rPr>
          <w:rFonts w:hint="eastAsia" w:ascii="黑体" w:hAnsi="黑体" w:eastAsia="黑体" w:cs="黑体"/>
          <w:color w:val="000000"/>
          <w:sz w:val="44"/>
          <w:szCs w:val="44"/>
        </w:rPr>
      </w:pPr>
    </w:p>
    <w:p>
      <w:pPr>
        <w:widowControl/>
        <w:jc w:val="center"/>
        <w:rPr>
          <w:rFonts w:hint="eastAsia" w:ascii="黑体" w:hAnsi="黑体" w:eastAsia="黑体" w:cs="黑体"/>
          <w:color w:val="000000"/>
          <w:sz w:val="44"/>
          <w:szCs w:val="44"/>
        </w:rPr>
      </w:pPr>
    </w:p>
    <w:p>
      <w:pPr>
        <w:widowControl/>
        <w:jc w:val="center"/>
        <w:rPr>
          <w:sz w:val="44"/>
          <w:szCs w:val="44"/>
        </w:rPr>
      </w:pPr>
      <w:r>
        <w:rPr>
          <w:rFonts w:hint="eastAsia" w:ascii="黑体" w:hAnsi="黑体" w:eastAsia="黑体" w:cs="黑体"/>
          <w:color w:val="000000"/>
          <w:sz w:val="44"/>
          <w:szCs w:val="44"/>
        </w:rPr>
        <w:t>第四部分  名词解释</w:t>
      </w: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r>
        <w:rPr>
          <w:rFonts w:hint="eastAsia" w:ascii="黑体" w:hAnsi="黑体" w:eastAsia="黑体" w:cs="黑体"/>
          <w:color w:val="000000"/>
          <w:sz w:val="44"/>
          <w:szCs w:val="44"/>
        </w:rPr>
        <w:t xml:space="preserve">   </w:t>
      </w: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r>
        <w:rPr>
          <w:rFonts w:hint="eastAsia" w:ascii="仿宋_GB2312" w:hAnsi="宋体" w:eastAsia="仿宋_GB2312" w:cs="Times New Roman"/>
          <w:color w:val="000000"/>
          <w:kern w:val="0"/>
          <w:sz w:val="32"/>
          <w:szCs w:val="32"/>
          <w:lang w:val="en-US" w:eastAsia="zh-CN" w:bidi="ar-SA"/>
        </w:rPr>
        <w:pict>
          <v:shape id="图片 76" o:spid="_x0000_s1045" o:spt="75" type="#_x0000_t75" style="position:absolute;left:0pt;margin-left:53.2pt;margin-top:206.35pt;height:50.4pt;width:50.4pt;mso-position-vertical-relative:margin;z-index:251672576;mso-width-relative:page;mso-height-relative:page;" fillcolor="#FFFFFF" filled="f" o:preferrelative="t" stroked="f" coordsize="21600,21600">
            <v:path/>
            <v:fill on="f" color2="#FFFFFF" focussize="0,0"/>
            <v:stroke on="f"/>
            <v:imagedata r:id="rId18" gain="65536f" blacklevel="0f" gamma="0" o:title=""/>
            <o:lock v:ext="edit" position="f" selection="f" grouping="f" rotation="f" cropping="f" text="f" aspectratio="t"/>
          </v:shape>
        </w:pict>
      </w:r>
    </w:p>
    <w:p>
      <w:pPr>
        <w:rPr>
          <w:rFonts w:ascii="仿宋_GB2312" w:hAnsi="宋体" w:eastAsia="仿宋_GB2312" w:cs="ArialUnicodeMS"/>
          <w:sz w:val="32"/>
          <w:szCs w:val="32"/>
        </w:rPr>
      </w:pPr>
    </w:p>
    <w:p>
      <w:pPr>
        <w:rPr>
          <w:rFonts w:ascii="仿宋_GB2312" w:hAnsi="宋体" w:eastAsia="仿宋_GB2312" w:cs="ArialUnicodeMS"/>
          <w:sz w:val="32"/>
          <w:szCs w:val="32"/>
        </w:rPr>
      </w:pPr>
      <w:r>
        <w:rPr>
          <w:rFonts w:hint="eastAsia" w:ascii="仿宋_GB2312" w:hAnsi="宋体" w:eastAsia="仿宋_GB2312" w:cs="ArialUnicodeMS"/>
          <w:sz w:val="32"/>
          <w:szCs w:val="32"/>
        </w:rPr>
        <w:br w:type="page"/>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财政拨款收入：</w:t>
      </w:r>
      <w:r>
        <w:rPr>
          <w:rFonts w:hint="eastAsia" w:ascii="仿宋_GB2312" w:hAnsi="宋体" w:eastAsia="仿宋_GB2312" w:cs="Times New Roman"/>
          <w:bCs/>
          <w:color w:val="000000"/>
          <w:kern w:val="0"/>
          <w:sz w:val="32"/>
          <w:szCs w:val="32"/>
        </w:rPr>
        <w:t>指单位从同级财政部门取得的财政预</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算资金。</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事业收入：</w:t>
      </w:r>
      <w:r>
        <w:rPr>
          <w:rFonts w:hint="eastAsia" w:ascii="仿宋_GB2312" w:hAnsi="宋体" w:eastAsia="仿宋_GB2312" w:cs="Times New Roman"/>
          <w:bCs/>
          <w:color w:val="000000"/>
          <w:kern w:val="0"/>
          <w:sz w:val="32"/>
          <w:szCs w:val="32"/>
        </w:rPr>
        <w:t>指事业单位开展专业业务活动及辅助活动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取得的收入。</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经营收入：</w:t>
      </w:r>
      <w:r>
        <w:rPr>
          <w:rFonts w:hint="eastAsia" w:ascii="仿宋_GB2312" w:hAnsi="宋体" w:eastAsia="仿宋_GB2312" w:cs="Times New Roman"/>
          <w:bCs/>
          <w:color w:val="000000"/>
          <w:kern w:val="0"/>
          <w:sz w:val="32"/>
          <w:szCs w:val="32"/>
        </w:rPr>
        <w:t>指事业单位在专业业务活动及其辅助活动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之外开展非独立核算经营活动取得的收入。</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其他收入：</w:t>
      </w:r>
      <w:r>
        <w:rPr>
          <w:rFonts w:hint="eastAsia" w:ascii="仿宋_GB2312" w:hAnsi="宋体" w:eastAsia="仿宋_GB2312" w:cs="Times New Roman"/>
          <w:bCs/>
          <w:color w:val="000000"/>
          <w:kern w:val="0"/>
          <w:sz w:val="32"/>
          <w:szCs w:val="32"/>
        </w:rPr>
        <w:t>指单位取得的除上述收入以外的各项收</w:t>
      </w:r>
    </w:p>
    <w:p>
      <w:pPr>
        <w:spacing w:line="580" w:lineRule="exact"/>
        <w:rPr>
          <w:rFonts w:ascii="仿宋_GB2312" w:hAnsi="宋体" w:eastAsia="仿宋_GB2312" w:cs="Times New Roman"/>
          <w:b/>
          <w:bCs/>
          <w:color w:val="000000"/>
          <w:kern w:val="0"/>
          <w:sz w:val="32"/>
          <w:szCs w:val="32"/>
        </w:rPr>
      </w:pPr>
      <w:r>
        <w:rPr>
          <w:rFonts w:hint="eastAsia" w:ascii="仿宋_GB2312" w:hAnsi="宋体" w:eastAsia="仿宋_GB2312" w:cs="Times New Roman"/>
          <w:bCs/>
          <w:color w:val="000000"/>
          <w:kern w:val="0"/>
          <w:sz w:val="32"/>
          <w:szCs w:val="32"/>
        </w:rPr>
        <w:t>入。主要是事业单位固定资产出租收入、存款利息收入等。</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 xml:space="preserve">   五、使用非财政拨款结余：</w:t>
      </w:r>
      <w:r>
        <w:rPr>
          <w:rFonts w:hint="eastAsia" w:ascii="仿宋_GB2312" w:hAnsi="宋体" w:eastAsia="仿宋_GB2312" w:cs="Times New Roman"/>
          <w:bCs/>
          <w:color w:val="000000"/>
          <w:kern w:val="0"/>
          <w:sz w:val="32"/>
          <w:szCs w:val="32"/>
        </w:rPr>
        <w:t>指事业单位使用以前年度积累的非财政拨款结余弥补当年收支差额的金额。</w:t>
      </w:r>
    </w:p>
    <w:p>
      <w:pPr>
        <w:numPr>
          <w:ilvl w:val="0"/>
          <w:numId w:val="6"/>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年初结转和结余：</w:t>
      </w:r>
      <w:r>
        <w:rPr>
          <w:rFonts w:hint="eastAsia" w:ascii="仿宋_GB2312" w:hAnsi="宋体" w:eastAsia="仿宋_GB2312" w:cs="Times New Roman"/>
          <w:bCs/>
          <w:color w:val="000000"/>
          <w:kern w:val="0"/>
          <w:sz w:val="32"/>
          <w:szCs w:val="32"/>
        </w:rPr>
        <w:t>指单位以前年度尚未完成、结转到</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本年仍按原规定用途继续使用的资金，或项目已完成等产生的结余资金。</w:t>
      </w:r>
    </w:p>
    <w:p>
      <w:pPr>
        <w:numPr>
          <w:ilvl w:val="0"/>
          <w:numId w:val="6"/>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结余分配：</w:t>
      </w:r>
      <w:r>
        <w:rPr>
          <w:rFonts w:hint="eastAsia" w:ascii="仿宋_GB2312" w:hAnsi="宋体" w:eastAsia="仿宋_GB2312" w:cs="Times New Roman"/>
          <w:bCs/>
          <w:color w:val="000000"/>
          <w:kern w:val="0"/>
          <w:sz w:val="32"/>
          <w:szCs w:val="32"/>
        </w:rPr>
        <w:t>指事业单位按照会计制度规定缴纳的所得</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税、提取的专用结余以及转入非财政拨款结余的金额等。</w:t>
      </w:r>
    </w:p>
    <w:p>
      <w:pPr>
        <w:numPr>
          <w:ilvl w:val="0"/>
          <w:numId w:val="6"/>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年末结转和结余：</w:t>
      </w:r>
      <w:r>
        <w:rPr>
          <w:rFonts w:hint="eastAsia" w:ascii="仿宋_GB2312" w:hAnsi="宋体" w:eastAsia="仿宋_GB2312" w:cs="Times New Roman"/>
          <w:bCs/>
          <w:color w:val="000000"/>
          <w:kern w:val="0"/>
          <w:sz w:val="32"/>
          <w:szCs w:val="32"/>
        </w:rPr>
        <w:t>指单位按有关规定结转到下年或以</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后年度继续使用的资金，或项目已完成等产生的结余资金。</w:t>
      </w:r>
    </w:p>
    <w:p>
      <w:pPr>
        <w:numPr>
          <w:ilvl w:val="0"/>
          <w:numId w:val="6"/>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基本支出：</w:t>
      </w:r>
      <w:r>
        <w:rPr>
          <w:rFonts w:hint="eastAsia" w:ascii="仿宋_GB2312" w:hAnsi="宋体" w:eastAsia="仿宋_GB2312" w:cs="Times New Roman"/>
          <w:bCs/>
          <w:color w:val="000000"/>
          <w:kern w:val="0"/>
          <w:sz w:val="32"/>
          <w:szCs w:val="32"/>
        </w:rPr>
        <w:t>指为保障机构正常运转、完成日常工作任</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务而发生的人员支出和公用支出。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十、项目支出：</w:t>
      </w:r>
      <w:r>
        <w:rPr>
          <w:rFonts w:hint="eastAsia" w:ascii="仿宋_GB2312" w:hAnsi="宋体" w:eastAsia="仿宋_GB2312" w:cs="Times New Roman"/>
          <w:color w:val="000000"/>
          <w:kern w:val="0"/>
          <w:sz w:val="32"/>
          <w:szCs w:val="32"/>
        </w:rPr>
        <w:t>指在基本支出之外为完成特定行政任务和事业发展目标所发生的支出。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b/>
          <w:bCs/>
          <w:color w:val="000000"/>
          <w:kern w:val="0"/>
          <w:sz w:val="32"/>
          <w:szCs w:val="32"/>
        </w:rPr>
      </w:pPr>
      <w:r>
        <w:rPr>
          <w:rFonts w:hint="eastAsia" w:ascii="仿宋_GB2312" w:hAnsi="宋体" w:eastAsia="仿宋_GB2312" w:cs="Times New Roman"/>
          <w:b/>
          <w:bCs/>
          <w:color w:val="000000"/>
          <w:kern w:val="0"/>
          <w:sz w:val="32"/>
          <w:szCs w:val="32"/>
        </w:rPr>
        <w:t>十二、其他资本性支出：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十七、机关运行经费：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hint="eastAsia" w:ascii="仿宋_GB2312" w:hAnsi="Cambria" w:eastAsia="仿宋_GB2312" w:cs="ArialUnicodeMS"/>
          <w:kern w:val="0"/>
          <w:sz w:val="32"/>
          <w:szCs w:val="32"/>
          <w:lang w:eastAsia="zh-CN"/>
        </w:rPr>
      </w:pPr>
      <w:r>
        <w:rPr>
          <w:rFonts w:hint="eastAsia" w:ascii="仿宋_GB2312" w:hAnsi="宋体" w:eastAsia="仿宋_GB2312" w:cs="Times New Roman"/>
          <w:b/>
          <w:bCs/>
          <w:color w:val="000000"/>
          <w:kern w:val="0"/>
          <w:sz w:val="32"/>
          <w:szCs w:val="32"/>
        </w:rPr>
        <w:t>十八、经费形式: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r>
        <w:rPr>
          <w:rFonts w:hint="eastAsia" w:ascii="仿宋_GB2312" w:hAnsi="Cambria" w:eastAsia="仿宋_GB2312" w:cs="ArialUnicodeMS"/>
          <w:kern w:val="0"/>
          <w:sz w:val="32"/>
          <w:szCs w:val="32"/>
          <w:lang w:eastAsia="zh-CN"/>
        </w:rPr>
        <w:t>。</w:t>
      </w:r>
    </w:p>
    <w:p/>
    <w:sectPr>
      <w:pgSz w:w="11906" w:h="16838"/>
      <w:pgMar w:top="2041" w:right="1531" w:bottom="204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思源黑体 CN Heavy">
    <w:altName w:val="黑体"/>
    <w:panose1 w:val="00000000000000000000"/>
    <w:charset w:val="86"/>
    <w:family w:val="auto"/>
    <w:pitch w:val="default"/>
    <w:sig w:usb0="00000000" w:usb1="00000000" w:usb2="00000016" w:usb3="00000000" w:csb0="00060107" w:csb1="00000000"/>
  </w:font>
  <w:font w:name="思源黑体 CN Bold">
    <w:altName w:val="黑体"/>
    <w:panose1 w:val="00000000000000000000"/>
    <w:charset w:val="86"/>
    <w:family w:val="auto"/>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UnicodeMS">
    <w:altName w:val="Times New Roman"/>
    <w:panose1 w:val="00000000000000000000"/>
    <w:charset w:val="81"/>
    <w:family w:val="auto"/>
    <w:pitch w:val="default"/>
    <w:sig w:usb0="00000000" w:usb1="00000000" w:usb2="00000010" w:usb3="00000000" w:csb0="00080001" w:csb1="00000000"/>
  </w:font>
  <w:font w:name="Cambria">
    <w:panose1 w:val="02040503050406030204"/>
    <w:charset w:val="00"/>
    <w:family w:val="auto"/>
    <w:pitch w:val="default"/>
    <w:sig w:usb0="A00002EF" w:usb1="4000004B" w:usb2="00000000" w:usb3="00000000" w:csb0="200000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MS-UIGothic,Bold">
    <w:altName w:val="Times New Roman"/>
    <w:panose1 w:val="00000000000000000000"/>
    <w:charset w:val="81"/>
    <w:family w:val="auto"/>
    <w:pitch w:val="default"/>
    <w:sig w:usb0="00000000" w:usb1="00000000" w:usb2="00000010" w:usb3="00000000" w:csb0="00080000" w:csb1="00000000"/>
  </w:font>
  <w:font w:name="Arial Rounded MT Bold">
    <w:panose1 w:val="020F0704030504030204"/>
    <w:charset w:val="00"/>
    <w:family w:val="auto"/>
    <w:pitch w:val="default"/>
    <w:sig w:usb0="00000003" w:usb1="00000000" w:usb2="00000000" w:usb3="00000000" w:csb0="2000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6FF548"/>
    <w:multiLevelType w:val="singleLevel"/>
    <w:tmpl w:val="316FF548"/>
    <w:lvl w:ilvl="0" w:tentative="0">
      <w:start w:val="3"/>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abstractNum w:abstractNumId="2">
    <w:nsid w:val="486A544E"/>
    <w:multiLevelType w:val="multilevel"/>
    <w:tmpl w:val="486A544E"/>
    <w:lvl w:ilvl="0" w:tentative="0">
      <w:start w:val="6"/>
      <w:numFmt w:val="japaneseCounting"/>
      <w:lvlText w:val="%1、"/>
      <w:lvlJc w:val="left"/>
      <w:pPr>
        <w:ind w:left="1360" w:hanging="720"/>
      </w:pPr>
      <w:rPr>
        <w:rFonts w:hint="default"/>
        <w:b/>
        <w:u w:val="none"/>
      </w:rPr>
    </w:lvl>
    <w:lvl w:ilvl="1" w:tentative="0">
      <w:start w:val="1"/>
      <w:numFmt w:val="lowerLetter"/>
      <w:lvlText w:val="%2)"/>
      <w:lvlJc w:val="left"/>
      <w:pPr>
        <w:ind w:left="1480" w:hanging="420"/>
      </w:pPr>
      <w:rPr>
        <w:rFonts w:hint="default"/>
        <w:u w:val="none"/>
      </w:rPr>
    </w:lvl>
    <w:lvl w:ilvl="2" w:tentative="0">
      <w:start w:val="1"/>
      <w:numFmt w:val="lowerRoman"/>
      <w:lvlText w:val="%3."/>
      <w:lvlJc w:val="right"/>
      <w:pPr>
        <w:ind w:left="1900" w:hanging="420"/>
      </w:pPr>
      <w:rPr>
        <w:rFonts w:hint="default"/>
        <w:u w:val="none"/>
      </w:rPr>
    </w:lvl>
    <w:lvl w:ilvl="3" w:tentative="0">
      <w:start w:val="1"/>
      <w:numFmt w:val="decimal"/>
      <w:lvlText w:val="%4."/>
      <w:lvlJc w:val="left"/>
      <w:pPr>
        <w:ind w:left="2320" w:hanging="420"/>
      </w:pPr>
      <w:rPr>
        <w:rFonts w:hint="default"/>
        <w:u w:val="none"/>
      </w:rPr>
    </w:lvl>
    <w:lvl w:ilvl="4" w:tentative="0">
      <w:start w:val="1"/>
      <w:numFmt w:val="lowerLetter"/>
      <w:lvlText w:val="%5)"/>
      <w:lvlJc w:val="left"/>
      <w:pPr>
        <w:ind w:left="2740" w:hanging="420"/>
      </w:pPr>
      <w:rPr>
        <w:rFonts w:hint="default"/>
        <w:u w:val="none"/>
      </w:rPr>
    </w:lvl>
    <w:lvl w:ilvl="5" w:tentative="0">
      <w:start w:val="1"/>
      <w:numFmt w:val="lowerRoman"/>
      <w:lvlText w:val="%6."/>
      <w:lvlJc w:val="right"/>
      <w:pPr>
        <w:ind w:left="3160" w:hanging="420"/>
      </w:pPr>
      <w:rPr>
        <w:rFonts w:hint="default"/>
        <w:u w:val="none"/>
      </w:rPr>
    </w:lvl>
    <w:lvl w:ilvl="6" w:tentative="0">
      <w:start w:val="1"/>
      <w:numFmt w:val="decimal"/>
      <w:lvlText w:val="%7."/>
      <w:lvlJc w:val="left"/>
      <w:pPr>
        <w:ind w:left="3580" w:hanging="420"/>
      </w:pPr>
      <w:rPr>
        <w:rFonts w:hint="default"/>
        <w:u w:val="none"/>
      </w:rPr>
    </w:lvl>
    <w:lvl w:ilvl="7" w:tentative="0">
      <w:start w:val="1"/>
      <w:numFmt w:val="lowerLetter"/>
      <w:lvlText w:val="%8)"/>
      <w:lvlJc w:val="left"/>
      <w:pPr>
        <w:ind w:left="4000" w:hanging="420"/>
      </w:pPr>
      <w:rPr>
        <w:rFonts w:hint="default"/>
        <w:u w:val="none"/>
      </w:rPr>
    </w:lvl>
    <w:lvl w:ilvl="8" w:tentative="0">
      <w:start w:val="1"/>
      <w:numFmt w:val="lowerRoman"/>
      <w:lvlText w:val="%9."/>
      <w:lvlJc w:val="right"/>
      <w:pPr>
        <w:ind w:left="4420" w:hanging="420"/>
      </w:pPr>
      <w:rPr>
        <w:rFonts w:hint="default"/>
        <w:u w:val="none"/>
      </w:rPr>
    </w:lvl>
  </w:abstractNum>
  <w:abstractNum w:abstractNumId="3">
    <w:nsid w:val="53D25D65"/>
    <w:multiLevelType w:val="multilevel"/>
    <w:tmpl w:val="53D25D65"/>
    <w:lvl w:ilvl="0" w:tentative="0">
      <w:start w:val="1"/>
      <w:numFmt w:val="japaneseCounting"/>
      <w:lvlText w:val="%1、"/>
      <w:lvlJc w:val="left"/>
      <w:pPr>
        <w:tabs>
          <w:tab w:val="left" w:pos="1395"/>
        </w:tabs>
        <w:ind w:left="1395" w:hanging="720"/>
      </w:pPr>
      <w:rPr>
        <w:rFonts w:hint="default"/>
        <w:b/>
        <w:u w:val="none"/>
      </w:rPr>
    </w:lvl>
    <w:lvl w:ilvl="1" w:tentative="0">
      <w:start w:val="1"/>
      <w:numFmt w:val="lowerLetter"/>
      <w:lvlText w:val="%2)"/>
      <w:lvlJc w:val="left"/>
      <w:pPr>
        <w:tabs>
          <w:tab w:val="left" w:pos="1515"/>
        </w:tabs>
        <w:ind w:left="1515" w:hanging="420"/>
      </w:pPr>
      <w:rPr>
        <w:rFonts w:hint="default"/>
        <w:u w:val="none"/>
      </w:rPr>
    </w:lvl>
    <w:lvl w:ilvl="2" w:tentative="0">
      <w:start w:val="1"/>
      <w:numFmt w:val="lowerRoman"/>
      <w:lvlText w:val="%3."/>
      <w:lvlJc w:val="right"/>
      <w:pPr>
        <w:tabs>
          <w:tab w:val="left" w:pos="1935"/>
        </w:tabs>
        <w:ind w:left="1935" w:hanging="420"/>
      </w:pPr>
      <w:rPr>
        <w:rFonts w:hint="default"/>
        <w:u w:val="none"/>
      </w:rPr>
    </w:lvl>
    <w:lvl w:ilvl="3" w:tentative="0">
      <w:start w:val="1"/>
      <w:numFmt w:val="decimal"/>
      <w:lvlText w:val="%4."/>
      <w:lvlJc w:val="left"/>
      <w:pPr>
        <w:tabs>
          <w:tab w:val="left" w:pos="2355"/>
        </w:tabs>
        <w:ind w:left="2355" w:hanging="420"/>
      </w:pPr>
      <w:rPr>
        <w:rFonts w:hint="default"/>
        <w:u w:val="none"/>
      </w:rPr>
    </w:lvl>
    <w:lvl w:ilvl="4" w:tentative="0">
      <w:start w:val="1"/>
      <w:numFmt w:val="lowerLetter"/>
      <w:lvlText w:val="%5)"/>
      <w:lvlJc w:val="left"/>
      <w:pPr>
        <w:tabs>
          <w:tab w:val="left" w:pos="2775"/>
        </w:tabs>
        <w:ind w:left="2775" w:hanging="420"/>
      </w:pPr>
      <w:rPr>
        <w:rFonts w:hint="default"/>
        <w:u w:val="none"/>
      </w:rPr>
    </w:lvl>
    <w:lvl w:ilvl="5" w:tentative="0">
      <w:start w:val="1"/>
      <w:numFmt w:val="lowerRoman"/>
      <w:lvlText w:val="%6."/>
      <w:lvlJc w:val="right"/>
      <w:pPr>
        <w:tabs>
          <w:tab w:val="left" w:pos="3195"/>
        </w:tabs>
        <w:ind w:left="3195" w:hanging="420"/>
      </w:pPr>
      <w:rPr>
        <w:rFonts w:hint="default"/>
        <w:u w:val="none"/>
      </w:rPr>
    </w:lvl>
    <w:lvl w:ilvl="6" w:tentative="0">
      <w:start w:val="1"/>
      <w:numFmt w:val="decimal"/>
      <w:lvlText w:val="%7."/>
      <w:lvlJc w:val="left"/>
      <w:pPr>
        <w:tabs>
          <w:tab w:val="left" w:pos="3615"/>
        </w:tabs>
        <w:ind w:left="3615" w:hanging="420"/>
      </w:pPr>
      <w:rPr>
        <w:rFonts w:hint="default"/>
        <w:u w:val="none"/>
      </w:rPr>
    </w:lvl>
    <w:lvl w:ilvl="7" w:tentative="0">
      <w:start w:val="1"/>
      <w:numFmt w:val="lowerLetter"/>
      <w:lvlText w:val="%8)"/>
      <w:lvlJc w:val="left"/>
      <w:pPr>
        <w:tabs>
          <w:tab w:val="left" w:pos="4035"/>
        </w:tabs>
        <w:ind w:left="4035" w:hanging="420"/>
      </w:pPr>
      <w:rPr>
        <w:rFonts w:hint="default"/>
        <w:u w:val="none"/>
      </w:rPr>
    </w:lvl>
    <w:lvl w:ilvl="8" w:tentative="0">
      <w:start w:val="1"/>
      <w:numFmt w:val="lowerRoman"/>
      <w:lvlText w:val="%9."/>
      <w:lvlJc w:val="right"/>
      <w:pPr>
        <w:tabs>
          <w:tab w:val="left" w:pos="4455"/>
        </w:tabs>
        <w:ind w:left="4455" w:hanging="420"/>
      </w:pPr>
      <w:rPr>
        <w:rFonts w:hint="default"/>
        <w:u w:val="none"/>
      </w:rPr>
    </w:lvl>
  </w:abstractNum>
  <w:abstractNum w:abstractNumId="4">
    <w:nsid w:val="5C5EBA14"/>
    <w:multiLevelType w:val="singleLevel"/>
    <w:tmpl w:val="5C5EBA14"/>
    <w:lvl w:ilvl="0" w:tentative="0">
      <w:start w:val="1"/>
      <w:numFmt w:val="chineseCounting"/>
      <w:suff w:val="nothing"/>
      <w:lvlText w:val="%1、"/>
      <w:lvlJc w:val="left"/>
      <w:rPr>
        <w:rFonts w:hint="eastAsia"/>
      </w:rPr>
    </w:lvl>
  </w:abstractNum>
  <w:abstractNum w:abstractNumId="5">
    <w:nsid w:val="5F222FFA"/>
    <w:multiLevelType w:val="singleLevel"/>
    <w:tmpl w:val="5F222FFA"/>
    <w:lvl w:ilvl="0" w:tentative="0">
      <w:start w:val="1"/>
      <w:numFmt w:val="decimal"/>
      <w:suff w:val="nothing"/>
      <w:lvlText w:val="（%1）"/>
      <w:lvlJc w:val="left"/>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jb3VudCI6NSwiaGRpZCI6ImE4Y2Y1MmUyOTliNTk1YWJkMWFjMjIxYWE4NjY3NDQ4IiwidXNlckNvdW50IjoyfQ=="/>
  </w:docVars>
  <w:rsids>
    <w:rsidRoot w:val="00000000"/>
    <w:rsid w:val="0F29588E"/>
    <w:rsid w:val="29651089"/>
    <w:rsid w:val="386F00E8"/>
    <w:rsid w:val="388466AA"/>
    <w:rsid w:val="58103AC5"/>
    <w:rsid w:val="631B41DE"/>
    <w:rsid w:val="670E1641"/>
    <w:rsid w:val="71C6006D"/>
    <w:rsid w:val="72957962"/>
    <w:rsid w:val="73AD7321"/>
    <w:rsid w:val="7A463D8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6"/>
    <w:unhideWhenUsed/>
    <w:qFormat/>
    <w:uiPriority w:val="99"/>
    <w:rPr>
      <w:sz w:val="18"/>
      <w:szCs w:val="18"/>
    </w:rPr>
  </w:style>
  <w:style w:type="paragraph" w:styleId="4">
    <w:name w:val="footer"/>
    <w:basedOn w:val="1"/>
    <w:link w:val="8"/>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character" w:customStyle="1" w:styleId="8">
    <w:name w:val="页脚 Char Char"/>
    <w:basedOn w:val="7"/>
    <w:link w:val="4"/>
    <w:qFormat/>
    <w:uiPriority w:val="0"/>
    <w:rPr>
      <w:kern w:val="2"/>
      <w:sz w:val="18"/>
      <w:szCs w:val="18"/>
    </w:rPr>
  </w:style>
  <w:style w:type="character" w:customStyle="1" w:styleId="9">
    <w:name w:val="页眉 Char Char"/>
    <w:basedOn w:val="7"/>
    <w:link w:val="5"/>
    <w:qFormat/>
    <w:uiPriority w:val="0"/>
    <w:rPr>
      <w:kern w:val="2"/>
      <w:sz w:val="18"/>
      <w:szCs w:val="18"/>
    </w:rPr>
  </w:style>
  <w:style w:type="character" w:customStyle="1" w:styleId="10">
    <w:name w:val="font11"/>
    <w:basedOn w:val="7"/>
    <w:qFormat/>
    <w:uiPriority w:val="0"/>
    <w:rPr>
      <w:rFonts w:hint="eastAsia" w:ascii="宋体" w:hAnsi="宋体" w:eastAsia="宋体" w:cs="宋体"/>
      <w:color w:val="000000"/>
      <w:sz w:val="20"/>
      <w:szCs w:val="20"/>
      <w:u w:val="none"/>
    </w:rPr>
  </w:style>
  <w:style w:type="character" w:customStyle="1" w:styleId="11">
    <w:name w:val="font01"/>
    <w:basedOn w:val="7"/>
    <w:qFormat/>
    <w:uiPriority w:val="0"/>
    <w:rPr>
      <w:rFonts w:hint="eastAsia" w:ascii="宋体" w:hAnsi="宋体" w:eastAsia="宋体" w:cs="宋体"/>
      <w:color w:val="000000"/>
      <w:sz w:val="22"/>
      <w:szCs w:val="22"/>
      <w:u w:val="none"/>
    </w:rPr>
  </w:style>
  <w:style w:type="character" w:customStyle="1" w:styleId="12">
    <w:name w:val="font41"/>
    <w:basedOn w:val="7"/>
    <w:qFormat/>
    <w:uiPriority w:val="0"/>
    <w:rPr>
      <w:rFonts w:hint="eastAsia" w:ascii="宋体" w:hAnsi="宋体" w:eastAsia="宋体" w:cs="宋体"/>
      <w:color w:val="000000"/>
      <w:sz w:val="24"/>
      <w:szCs w:val="24"/>
      <w:u w:val="none"/>
    </w:rPr>
  </w:style>
  <w:style w:type="character" w:customStyle="1" w:styleId="13">
    <w:name w:val="font31"/>
    <w:basedOn w:val="7"/>
    <w:qFormat/>
    <w:uiPriority w:val="0"/>
    <w:rPr>
      <w:rFonts w:hint="eastAsia" w:ascii="华文中宋" w:hAnsi="华文中宋" w:eastAsia="华文中宋" w:cs="华文中宋"/>
      <w:color w:val="000000"/>
      <w:sz w:val="32"/>
      <w:szCs w:val="32"/>
      <w:u w:val="none"/>
    </w:rPr>
  </w:style>
  <w:style w:type="character" w:customStyle="1" w:styleId="14">
    <w:name w:val="font91"/>
    <w:basedOn w:val="7"/>
    <w:qFormat/>
    <w:uiPriority w:val="0"/>
    <w:rPr>
      <w:rFonts w:hint="eastAsia" w:ascii="华文中宋" w:hAnsi="华文中宋" w:eastAsia="华文中宋" w:cs="华文中宋"/>
      <w:color w:val="000000"/>
      <w:sz w:val="32"/>
      <w:szCs w:val="32"/>
      <w:u w:val="none"/>
    </w:rPr>
  </w:style>
  <w:style w:type="character" w:customStyle="1" w:styleId="15">
    <w:name w:val="font51"/>
    <w:basedOn w:val="7"/>
    <w:qFormat/>
    <w:uiPriority w:val="0"/>
    <w:rPr>
      <w:rFonts w:hint="eastAsia" w:ascii="宋体" w:hAnsi="宋体" w:eastAsia="宋体" w:cs="宋体"/>
      <w:color w:val="000000"/>
      <w:sz w:val="24"/>
      <w:szCs w:val="24"/>
      <w:u w:val="none"/>
    </w:rPr>
  </w:style>
  <w:style w:type="character" w:customStyle="1" w:styleId="16">
    <w:name w:val="批注框文本 Char Char"/>
    <w:basedOn w:val="7"/>
    <w:link w:val="3"/>
    <w:qFormat/>
    <w:uiPriority w:val="99"/>
    <w:rPr>
      <w:kern w:val="2"/>
      <w:sz w:val="18"/>
      <w:szCs w:val="18"/>
    </w:rPr>
  </w:style>
  <w:style w:type="character" w:customStyle="1" w:styleId="17">
    <w:name w:val="font61"/>
    <w:basedOn w:val="7"/>
    <w:qFormat/>
    <w:uiPriority w:val="0"/>
    <w:rPr>
      <w:rFonts w:hint="eastAsia" w:ascii="宋体" w:hAnsi="宋体" w:eastAsia="宋体" w:cs="宋体"/>
      <w:color w:val="000000"/>
      <w:sz w:val="22"/>
      <w:szCs w:val="22"/>
      <w:u w:val="none"/>
    </w:rPr>
  </w:style>
  <w:style w:type="character" w:customStyle="1" w:styleId="18">
    <w:name w:val="font21"/>
    <w:basedOn w:val="7"/>
    <w:qFormat/>
    <w:uiPriority w:val="0"/>
    <w:rPr>
      <w:rFonts w:hint="default"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8" textRotate="1"/>
    <customShpInfo spid="_x0000_s1026"/>
    <customShpInfo spid="_x0000_s1027"/>
    <customShpInfo spid="_x0000_s1029" textRotate="1"/>
    <customShpInfo spid="_x0000_s1031" textRotate="1"/>
    <customShpInfo spid="_x0000_s1032"/>
    <customShpInfo spid="_x0000_s1030"/>
    <customShpInfo spid="_x0000_s1033" textRotate="1"/>
    <customShpInfo spid="_x0000_s1035" textRotate="1"/>
    <customShpInfo spid="_x0000_s1036" textRotate="1"/>
    <customShpInfo spid="_x0000_s1034"/>
    <customShpInfo spid="_x0000_s1037" textRotate="1"/>
    <customShpInfo spid="_x0000_s1040"/>
    <customShpInfo spid="_x0000_s1041"/>
    <customShpInfo spid="_x0000_s1042"/>
    <customShpInfo spid="_x0000_s1043" textRotate="1"/>
    <customShpInfo spid="_x0000_s1044"/>
    <customShpInfo spid="_x0000_s104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31</Pages>
  <Words>8727</Words>
  <Characters>9730</Characters>
  <Lines>84</Lines>
  <Paragraphs>23</Paragraphs>
  <TotalTime>20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2023-08-04T07:55:00Z</dcterms:created>
  <dc:creator>王明新TIAD</dc:creator>
  <cp:lastModifiedBy>WPS_1691565716</cp:lastModifiedBy>
  <cp:lastPrinted>2023-08-04T01:00:00Z</cp:lastPrinted>
  <dcterms:modified xsi:type="dcterms:W3CDTF">2023-11-20T06:04:25Z</dcterms:modified>
  <dc:title>1_x000F_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KSOTemplateUUID">
    <vt:lpwstr>v1.0_mb_S7ajbG3IpAnL1wSthNCxfw==</vt:lpwstr>
  </property>
  <property fmtid="{D5CDD505-2E9C-101B-9397-08002B2CF9AE}" pid="4" name="ICV">
    <vt:lpwstr>1515CEFC20754C3380B382230295B456</vt:lpwstr>
  </property>
</Properties>
</file>